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80"/>
      </w:pPr>
      <w:r>
        <w:rPr>
          <w:rFonts w:ascii="Microsoft JhengHei" w:eastAsia="Microsoft JhengHei" w:hAnsi="Microsoft JhengHei"/>
          <w:b/>
          <w:bCs/>
          <w:color w:val="1F3864"/>
          <w:sz w:val="32"/>
          <w:szCs w:val="32"/>
        </w:rPr>
        <w:t xml:space="preserve">台股券商研究報告總覽｜2026/07/24 早盤</w:t>
      </w:r>
    </w:p>
    <w:p>
      <w:pPr>
        <w:spacing w:after="120" w:line="300"/>
      </w:pPr>
      <w:r>
        <w:rPr>
          <w:rFonts w:ascii="Microsoft JhengHei" w:eastAsia="Microsoft JhengHei" w:hAnsi="Microsoft JhengHei"/>
          <w:color w:val="595959"/>
          <w:sz w:val="20"/>
          <w:szCs w:val="20"/>
        </w:rPr>
        <w:t xml:space="preserve">收錄區間：2026/07/23 盤後至 07/24 08:00 之公開新聞。本場次新增 6 檔個股觀點（皆已建立個股摘要），另有 1 條目標價澄清。</w:t>
      </w:r>
    </w:p>
    <w:p>
      <w:pPr>
        <w:pStyle w:val="Heading2"/>
        <w:spacing w:after="120" w:before="200"/>
      </w:pPr>
      <w:r>
        <w:rPr>
          <w:rFonts w:ascii="Microsoft JhengHei" w:eastAsia="Microsoft JhengHei" w:hAnsi="Microsoft JhengHei"/>
          <w:b/>
          <w:bCs/>
          <w:color w:val="2E5395"/>
          <w:sz w:val="24"/>
          <w:szCs w:val="24"/>
        </w:rPr>
        <w:t xml:space="preserve">新增券商觀點（按產業分組）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750"/>
        <w:gridCol w:w="2350"/>
        <w:gridCol w:w="1850"/>
        <w:gridCol w:w="2170"/>
        <w:gridCol w:w="5000"/>
      </w:tblGrid>
      <w:tr>
        <w:trPr>
          <w:tblHeader/>
        </w:trPr>
        <w:tc>
          <w:tcPr>
            <w:tcW w:type="dxa" w:w="14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產業</w:t>
            </w:r>
          </w:p>
        </w:tc>
        <w:tc>
          <w:tcPr>
            <w:tcW w:type="dxa" w:w="17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個股</w:t>
            </w:r>
          </w:p>
        </w:tc>
        <w:tc>
          <w:tcPr>
            <w:tcW w:type="dxa" w:w="23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券商（屬性）</w:t>
            </w:r>
          </w:p>
        </w:tc>
        <w:tc>
          <w:tcPr>
            <w:tcW w:type="dxa" w:w="18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評等</w:t>
            </w:r>
          </w:p>
        </w:tc>
        <w:tc>
          <w:tcPr>
            <w:tcW w:type="dxa" w:w="217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目標價（新/舊）</w:t>
            </w:r>
          </w:p>
        </w:tc>
        <w:tc>
          <w:tcPr>
            <w:tcW w:type="dxa" w:w="5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一句話重點</w:t>
            </w:r>
          </w:p>
        </w:tc>
      </w:tr>
      <w:tr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18"/>
                <w:szCs w:val="18"/>
              </w:rPr>
              <w:t xml:space="preserve">半導體-矽晶圓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sz w:val="18"/>
                <w:szCs w:val="18"/>
              </w:rPr>
              <w:t xml:space="preserve">環球晶（6488）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18"/>
                <w:szCs w:val="18"/>
              </w:rPr>
              <w:t xml:space="preserve">法人（未具名）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18"/>
                <w:szCs w:val="18"/>
              </w:rPr>
              <w:t xml:space="preserve">未揭露（續看好）</w:t>
            </w:r>
          </w:p>
        </w:tc>
        <w:tc>
          <w:tcPr>
            <w:tcW w:type="dxa" w:w="2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18"/>
                <w:szCs w:val="18"/>
              </w:rPr>
              <w:t xml:space="preserve">1600（維持）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18"/>
                <w:szCs w:val="18"/>
              </w:rPr>
              <w:t xml:space="preserve">義大利Novara 8吋線火災致跌停，惟8吋營收占比不到3成、全球產能可調度，維持1600元，關注美光合作進展。</w:t>
            </w:r>
          </w:p>
        </w:tc>
      </w:tr>
      <w:tr>
        <w:tc>
          <w:tcPr>
            <w:tcW w:type="dxa" w:w="1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18"/>
                <w:szCs w:val="18"/>
              </w:rPr>
              <w:t xml:space="preserve">PCB-ABF載板</w:t>
            </w:r>
          </w:p>
        </w:tc>
        <w:tc>
          <w:tcPr>
            <w:tcW w:type="dxa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sz w:val="18"/>
                <w:szCs w:val="18"/>
              </w:rPr>
              <w:t xml:space="preserve">臻鼎-KY（4958）</w:t>
            </w:r>
          </w:p>
        </w:tc>
        <w:tc>
          <w:tcPr>
            <w:tcW w:type="dxa" w:w="2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18"/>
                <w:szCs w:val="18"/>
              </w:rPr>
              <w:t xml:space="preserve">法人（未具名，內資）</w:t>
            </w:r>
          </w:p>
        </w:tc>
        <w:tc>
          <w:tcPr>
            <w:tcW w:type="dxa" w:w="1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18"/>
                <w:szCs w:val="18"/>
              </w:rPr>
              <w:t xml:space="preserve">增加持股（維持）</w:t>
            </w:r>
          </w:p>
        </w:tc>
        <w:tc>
          <w:tcPr>
            <w:tcW w:type="dxa" w:w="217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18"/>
                <w:szCs w:val="18"/>
              </w:rPr>
              <w:t xml:space="preserve">695（上調/前值未揭露）</w:t>
            </w:r>
          </w:p>
        </w:tc>
        <w:tc>
          <w:tcPr>
            <w:tcW w:type="dxa" w:w="5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18"/>
                <w:szCs w:val="18"/>
              </w:rPr>
              <w:t xml:space="preserve">Vera Rubin供貨傳聞遭公司否認；ABF上升循環中擴產最積極（2025-28資本支出43.5億美元居冠），2027年EPS×26倍PE。</w:t>
            </w:r>
          </w:p>
        </w:tc>
      </w:tr>
      <w:tr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18"/>
                <w:szCs w:val="18"/>
              </w:rPr>
              <w:t xml:space="preserve">PCB-鑽針耗材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sz w:val="18"/>
                <w:szCs w:val="18"/>
              </w:rPr>
              <w:t xml:space="preserve">尖點（8021）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18"/>
                <w:szCs w:val="18"/>
              </w:rPr>
              <w:t xml:space="preserve">本土老牌投顧（未具名）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18"/>
                <w:szCs w:val="18"/>
              </w:rPr>
              <w:t xml:space="preserve">買進（維持）</w:t>
            </w:r>
          </w:p>
        </w:tc>
        <w:tc>
          <w:tcPr>
            <w:tcW w:type="dxa" w:w="2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18"/>
                <w:szCs w:val="18"/>
              </w:rPr>
              <w:t xml:space="preserve">600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18"/>
                <w:szCs w:val="18"/>
              </w:rPr>
              <w:t xml:space="preserve">6月稅後淨利年增217%；高階鍍膜鑽針供需吃緊，2026-28年EPS估9.9/20/34.6元，2027年×30倍PE。</w:t>
            </w:r>
          </w:p>
        </w:tc>
      </w:tr>
      <w:tr>
        <w:tc>
          <w:tcPr>
            <w:tcW w:type="dxa" w:w="1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18"/>
                <w:szCs w:val="18"/>
              </w:rPr>
              <w:t xml:space="preserve">散熱模組</w:t>
            </w:r>
          </w:p>
        </w:tc>
        <w:tc>
          <w:tcPr>
            <w:tcW w:type="dxa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sz w:val="18"/>
                <w:szCs w:val="18"/>
              </w:rPr>
              <w:t xml:space="preserve">邁科（6831）</w:t>
            </w:r>
          </w:p>
        </w:tc>
        <w:tc>
          <w:tcPr>
            <w:tcW w:type="dxa" w:w="2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18"/>
                <w:szCs w:val="18"/>
              </w:rPr>
              <w:t xml:space="preserve">日系外資（未具名）</w:t>
            </w:r>
          </w:p>
        </w:tc>
        <w:tc>
          <w:tcPr>
            <w:tcW w:type="dxa" w:w="1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18"/>
                <w:szCs w:val="18"/>
              </w:rPr>
              <w:t xml:space="preserve">買進（重申）</w:t>
            </w:r>
          </w:p>
        </w:tc>
        <w:tc>
          <w:tcPr>
            <w:tcW w:type="dxa" w:w="217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18"/>
                <w:szCs w:val="18"/>
              </w:rPr>
              <w:t xml:space="preserve">1325 / 1150</w:t>
            </w:r>
          </w:p>
        </w:tc>
        <w:tc>
          <w:tcPr>
            <w:tcW w:type="dxa" w:w="5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18"/>
                <w:szCs w:val="18"/>
              </w:rPr>
              <w:t xml:space="preserve">6月營收5.03億元創高、AI占比逾7成；美系CSP風冷份額逾40%，液冷升級推升明年ASP。</w:t>
            </w:r>
          </w:p>
        </w:tc>
      </w:tr>
      <w:tr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18"/>
                <w:szCs w:val="18"/>
              </w:rPr>
              <w:t xml:space="preserve">化工-封裝材料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sz w:val="18"/>
                <w:szCs w:val="18"/>
              </w:rPr>
              <w:t xml:space="preserve">長興（1717）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18"/>
                <w:szCs w:val="18"/>
              </w:rPr>
              <w:t xml:space="preserve">法人（未具名）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18"/>
                <w:szCs w:val="18"/>
              </w:rPr>
              <w:t xml:space="preserve">買進（初評）</w:t>
            </w:r>
          </w:p>
        </w:tc>
        <w:tc>
          <w:tcPr>
            <w:tcW w:type="dxa" w:w="2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18"/>
                <w:szCs w:val="18"/>
              </w:rPr>
              <w:t xml:space="preserve">86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18"/>
                <w:szCs w:val="18"/>
              </w:rPr>
              <w:t xml:space="preserve">MUF/LMC切入台積電CoWoS，下半年單月營收拉升至1-1.5億元；有望供應Apple M8封裝材料。</w:t>
            </w:r>
          </w:p>
        </w:tc>
      </w:tr>
      <w:tr>
        <w:tc>
          <w:tcPr>
            <w:tcW w:type="dxa" w:w="1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18"/>
                <w:szCs w:val="18"/>
              </w:rPr>
              <w:t xml:space="preserve">AI伺服器-ODM</w:t>
            </w:r>
          </w:p>
        </w:tc>
        <w:tc>
          <w:tcPr>
            <w:tcW w:type="dxa" w:w="1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sz w:val="18"/>
                <w:szCs w:val="18"/>
              </w:rPr>
              <w:t xml:space="preserve">緯創（3231）</w:t>
            </w:r>
          </w:p>
        </w:tc>
        <w:tc>
          <w:tcPr>
            <w:tcW w:type="dxa" w:w="2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18"/>
                <w:szCs w:val="18"/>
              </w:rPr>
              <w:t xml:space="preserve">法人（未具名）</w:t>
            </w:r>
          </w:p>
        </w:tc>
        <w:tc>
          <w:tcPr>
            <w:tcW w:type="dxa" w:w="1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18"/>
                <w:szCs w:val="18"/>
              </w:rPr>
              <w:t xml:space="preserve">買進（重申）</w:t>
            </w:r>
          </w:p>
        </w:tc>
        <w:tc>
          <w:tcPr>
            <w:tcW w:type="dxa" w:w="217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18"/>
                <w:szCs w:val="18"/>
              </w:rPr>
              <w:t xml:space="preserve">240</w:t>
            </w:r>
          </w:p>
        </w:tc>
        <w:tc>
          <w:tcPr>
            <w:tcW w:type="dxa" w:w="5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18"/>
                <w:szCs w:val="18"/>
              </w:rPr>
              <w:t xml:space="preserve">北美廠GB300正式量產、將導入Vera Rubin，AMD Helios出貨樂觀；EPS上看19.67元（原報告日待確認）。</w:t>
            </w:r>
          </w:p>
        </w:tc>
      </w:tr>
    </w:tbl>
    <w:p>
      <w:pPr>
        <w:pStyle w:val="Heading2"/>
        <w:spacing w:after="120" w:before="200"/>
      </w:pPr>
      <w:r>
        <w:rPr>
          <w:rFonts w:ascii="Microsoft JhengHei" w:eastAsia="Microsoft JhengHei" w:hAnsi="Microsoft JhengHei"/>
          <w:b/>
          <w:bCs/>
          <w:color w:val="2E5395"/>
          <w:sz w:val="24"/>
          <w:szCs w:val="24"/>
        </w:rPr>
        <w:t xml:space="preserve">備註與澄清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旺宏（2337）：大摩「NAND首選、優於大盤」之目標價經查為 220 元（7/22 收錄時標示待確認；原報告約 7 月上旬出具，經濟日報 9607246 可考）。已補記於收錄紀錄，不另建摘要。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自選股萬潤（6187）：近 24 小時無新增券商評等或目標價。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盤勢背景：7/23 台股收 44,850.81 點（+25.03 點）；美股 7/23 收黑（道瓊跌逾 500 點），今晨台指期夜盤回落，留意早盤情緒。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多篇報導未具名券商（「法人」「本土投顧」），屬性與原始報告日期以「待確認」處理；數字以新聞揭露為準。</w:t>
      </w:r>
    </w:p>
    <w:p>
      <w:pPr>
        <w:pStyle w:val="Heading2"/>
        <w:spacing w:after="120" w:before="200"/>
      </w:pPr>
      <w:r>
        <w:rPr>
          <w:rFonts w:ascii="Microsoft JhengHei" w:eastAsia="Microsoft JhengHei" w:hAnsi="Microsoft JhengHei"/>
          <w:b/>
          <w:bCs/>
          <w:color w:val="2E5395"/>
          <w:sz w:val="24"/>
          <w:szCs w:val="24"/>
        </w:rPr>
        <w:t xml:space="preserve">來源連結</w:t>
      </w:r>
    </w:p>
    <w:p>
      <w:pPr>
        <w:spacing w:after="120" w:line="300"/>
      </w:pPr>
      <w:r>
        <w:rPr>
          <w:rFonts w:ascii="Microsoft JhengHei" w:eastAsia="Microsoft JhengHei" w:hAnsi="Microsoft JhengHei"/>
          <w:sz w:val="18"/>
          <w:szCs w:val="18"/>
        </w:rPr>
        <w:t xml:space="preserve">1. FTNN 563747（環球晶）：https://www.ftnn.com.tw/news/563747</w:t>
      </w:r>
    </w:p>
    <w:p>
      <w:pPr>
        <w:spacing w:after="120" w:line="300"/>
      </w:pPr>
      <w:r>
        <w:rPr>
          <w:rFonts w:ascii="Microsoft JhengHei" w:eastAsia="Microsoft JhengHei" w:hAnsi="Microsoft JhengHei"/>
          <w:sz w:val="18"/>
          <w:szCs w:val="18"/>
        </w:rPr>
        <w:t xml:space="preserve">2. FTNN 563745（臻鼎-KY）：https://www.ftnn.com.tw/news/563745</w:t>
      </w:r>
    </w:p>
    <w:p>
      <w:pPr>
        <w:spacing w:after="120" w:line="300"/>
      </w:pPr>
      <w:r>
        <w:rPr>
          <w:rFonts w:ascii="Microsoft JhengHei" w:eastAsia="Microsoft JhengHei" w:hAnsi="Microsoft JhengHei"/>
          <w:sz w:val="18"/>
          <w:szCs w:val="18"/>
        </w:rPr>
        <w:t xml:space="preserve">3. FTNN 563704（尖點）：https://www.ftnn.com.tw/news/563704</w:t>
      </w:r>
    </w:p>
    <w:p>
      <w:pPr>
        <w:spacing w:after="120" w:line="300"/>
      </w:pPr>
      <w:r>
        <w:rPr>
          <w:rFonts w:ascii="Microsoft JhengHei" w:eastAsia="Microsoft JhengHei" w:hAnsi="Microsoft JhengHei"/>
          <w:sz w:val="18"/>
          <w:szCs w:val="18"/>
        </w:rPr>
        <w:t xml:space="preserve">4. FTNN 563708（邁科）：https://www.ftnn.com.tw/news/563708</w:t>
      </w:r>
    </w:p>
    <w:p>
      <w:pPr>
        <w:spacing w:after="120" w:line="300"/>
      </w:pPr>
      <w:r>
        <w:rPr>
          <w:rFonts w:ascii="Microsoft JhengHei" w:eastAsia="Microsoft JhengHei" w:hAnsi="Microsoft JhengHei"/>
          <w:sz w:val="18"/>
          <w:szCs w:val="18"/>
        </w:rPr>
        <w:t xml:space="preserve">5. FTNN 563749（長興）：https://www.ftnn.com.tw/news/563749</w:t>
      </w:r>
    </w:p>
    <w:p>
      <w:pPr>
        <w:spacing w:after="120" w:line="300"/>
      </w:pPr>
      <w:r>
        <w:rPr>
          <w:rFonts w:ascii="Microsoft JhengHei" w:eastAsia="Microsoft JhengHei" w:hAnsi="Microsoft JhengHei"/>
          <w:sz w:val="18"/>
          <w:szCs w:val="18"/>
        </w:rPr>
        <w:t xml:space="preserve">6. Yahoo股市轉載FTNN（緯創，2026/7/23）：https://tw.stock.yahoo.com/news/ 檔名尾碼 134500281.html 及 120000865.html</w:t>
      </w:r>
    </w:p>
    <w:p>
      <w:pPr>
        <w:spacing w:after="120" w:line="300"/>
      </w:pPr>
      <w:r>
        <w:rPr>
          <w:rFonts w:ascii="Microsoft JhengHei" w:eastAsia="Microsoft JhengHei" w:hAnsi="Microsoft JhengHei"/>
          <w:sz w:val="18"/>
          <w:szCs w:val="18"/>
        </w:rPr>
        <w:t xml:space="preserve">7. 經濟日報 9607246（旺宏/大摩澄清）：https://money.udn.com/money/story/5607/9607246</w:t>
      </w:r>
    </w:p>
    <w:p>
      <w:pPr>
        <w:spacing w:after="120" w:line="300"/>
      </w:pPr>
      <w:r>
        <w:rPr>
          <w:rFonts w:ascii="Microsoft JhengHei" w:eastAsia="Microsoft JhengHei" w:hAnsi="Microsoft JhengHei"/>
          <w:sz w:val="18"/>
          <w:szCs w:val="18"/>
        </w:rPr>
        <w:t xml:space="preserve">8. FTNN 563750（國巨，內容與 7/23 已收錄之大摩 1465／凱基 1250 相同，未重複收錄）：https://www.ftnn.com.tw/news/563750</w:t>
      </w:r>
    </w:p>
    <w:sectPr>
      <w:headerReference w:type="default" r:id="rId9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2026-07-24T00:23:09.184Z</dcterms:created>
  <dcterms:modified xsi:type="dcterms:W3CDTF">2026-07-24T00:23:09.187Z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