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6"/>
          <w:szCs w:val="36"/>
        </w:rPr>
        <w:t xml:space="preserve">台股券商研究觀點日報</w:t>
      </w:r>
    </w:p>
    <w:p>
      <w:pPr>
        <w:spacing w:after="240"/>
        <w:jc w:val="center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2026/07/25（六）早盤場次｜資料期間：7/24 盤後～7/25 08:00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本場次新增 1 檔新觀點、1 則同源補充確認。今日為週六休市，內容以晨間公開新聞為主。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</w:rPr>
        <w:t xml:space="preserve">塑化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50"/>
        <w:gridCol w:w="1350"/>
        <w:gridCol w:w="1500"/>
        <w:gridCol w:w="32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券商</w:t>
            </w:r>
          </w:p>
        </w:tc>
        <w:tc>
          <w:tcPr>
            <w:tcW w:type="dxa" w:w="12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個股</w:t>
            </w:r>
          </w:p>
        </w:tc>
        <w:tc>
          <w:tcPr>
            <w:tcW w:type="dxa" w:w="13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評等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目標價（新/舊）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一句話重點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金控龍頭旗下投顧（未具名，內資）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台塑（1301）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買進（初評）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78 元／無（初次評等）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Q2 自結 EPS 1.67 元由虧轉盈，利差改善＋轉型電子級化學品，2026/27 年 EPS 估 3.4/3.54 元，1.3 倍 2026 年 PBR。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</w:rPr>
        <w:t xml:space="preserve">半導體－記憶體（同源補充確認）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50"/>
        <w:gridCol w:w="1350"/>
        <w:gridCol w:w="1500"/>
        <w:gridCol w:w="32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券商</w:t>
            </w:r>
          </w:p>
        </w:tc>
        <w:tc>
          <w:tcPr>
            <w:tcW w:type="dxa" w:w="12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個股</w:t>
            </w:r>
          </w:p>
        </w:tc>
        <w:tc>
          <w:tcPr>
            <w:tcW w:type="dxa" w:w="13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評等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目標價（新/舊）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一句話重點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官股金控旗下投顧（未具名，內資）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華邦電（2344）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強力買進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285 元／前值 200 元（+42.5%）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與 7/22 已收錄之 285 元觀點同一報告；本則補充前值 200 元與官股身分，Q3 DRAM 報價估漲 50%，2027 年 EPS 估 90.31 元。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</w:rPr>
        <w:t xml:space="preserve">旺得富 20260725900006（台塑）：</w:t>
      </w:r>
      <w:hyperlink w:history="1" r:id="rIdr_yil4lxodabmse_gqp5d">
        <w:r>
          <w:rPr>
            <w:rStyle w:val="Hyperlink"/>
            <w:rFonts w:ascii="Microsoft JhengHei" w:cs="Microsoft JhengHei" w:eastAsia="Microsoft JhengHei" w:hAnsi="Microsoft JhengHei"/>
          </w:rPr>
          <w:t xml:space="preserve">https://wantrich.chinatimes.com/news/20260725900006-420101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</w:rPr>
        <w:t xml:space="preserve">旺得富 20260725900004（華邦電）：</w:t>
      </w:r>
      <w:hyperlink w:history="1" r:id="rIdnkxarpufo26hglkgm4ydo">
        <w:r>
          <w:rPr>
            <w:rStyle w:val="Hyperlink"/>
            <w:rFonts w:ascii="Microsoft JhengHei" w:cs="Microsoft JhengHei" w:eastAsia="Microsoft JhengHei" w:hAnsi="Microsoft JhengHei"/>
          </w:rPr>
          <w:t xml:space="preserve">https://wantrich.chinatimes.com/news/20260725900004-420101</w:t>
        </w:r>
      </w:hyperlink>
    </w:p>
    <w:p>
      <w:pPr>
        <w:spacing w:before="240"/>
      </w:pPr>
      <w:r>
        <w:rPr>
          <w:rFonts w:ascii="Microsoft JhengHei" w:cs="Microsoft JhengHei" w:eastAsia="Microsoft JhengHei" w:hAnsi="Microsoft JhengHei"/>
          <w:color w:val="808080"/>
          <w:sz w:val="18"/>
          <w:szCs w:val="18"/>
        </w:rPr>
        <w:t xml:space="preserve">本檔依公開新聞整理，僅供個人研究參考，非投資建議。</w:t>
      </w:r>
    </w:p>
    <w:sectPr>
      <w:head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_yil4lxodabmse_gqp5d" Type="http://schemas.openxmlformats.org/officeDocument/2006/relationships/hyperlink" Target="https://wantrich.chinatimes.com/news/20260725900006-420101" TargetMode="External"/><Relationship Id="rIdnkxarpufo26hglkgm4ydo" Type="http://schemas.openxmlformats.org/officeDocument/2006/relationships/hyperlink" Target="https://wantrich.chinatimes.com/news/20260725900004-420101" TargetMode="External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2026-07-25T00:16:47.739Z</dcterms:created>
  <dcterms:modified xsi:type="dcterms:W3CDTF">2026-07-25T00:16:47.739Z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