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1F4E79" w:sz="12" w:space="4"/>
        </w:pBdr>
        <w:spacing w:after="120" w:before="0"/>
      </w:pPr>
      <w:r>
        <w:rPr>
          <w:rFonts w:ascii="Microsoft JhengHei" w:cs="Microsoft JhengHei" w:eastAsia="Microsoft JhengHei" w:hAnsi="Microsoft JhengHei"/>
          <w:b/>
          <w:bCs/>
          <w:i w:val="false"/>
          <w:iCs w:val="false"/>
          <w:sz w:val="32"/>
          <w:szCs w:val="32"/>
        </w:rPr>
        <w:t xml:space="preserve">台股券商觀點日報　2026/07/27（盤後）</w:t>
      </w:r>
    </w:p>
    <w:p>
      <w:pPr>
        <w:spacing w:after="40" w:before="0" w:line="280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666666"/>
          <w:sz w:val="18"/>
          <w:szCs w:val="18"/>
        </w:rPr>
        <w:t xml:space="preserve">資料期間：2026/07/27 08:00 – 19:00（早盤場次後新增）　｜　新增觀點：6 則／4 檔標的</w:t>
      </w:r>
    </w:p>
    <w:p>
      <w:pPr>
        <w:spacing w:after="200" w:before="0" w:line="280"/>
      </w:pPr>
      <w:r>
        <w:rPr>
          <w:rFonts w:ascii="Microsoft JhengHei" w:cs="Microsoft JhengHei" w:eastAsia="Microsoft JhengHei" w:hAnsi="Microsoft JhengHei"/>
          <w:b w:val="false"/>
          <w:bCs w:val="false"/>
          <w:i/>
          <w:iCs/>
          <w:color w:val="666666"/>
          <w:sz w:val="18"/>
          <w:szCs w:val="18"/>
        </w:rPr>
        <w:t xml:space="preserve">資料來源：公開新聞報導整理，非券商完整報告原文。數字有疑義處標註「待確認」。</w:t>
      </w:r>
    </w:p>
    <w:p>
      <w:pPr>
        <w:spacing w:after="100" w:before="240"/>
      </w:pPr>
      <w:r>
        <w:rPr>
          <w:rFonts w:ascii="Microsoft JhengHei" w:cs="Microsoft JhengHei" w:eastAsia="Microsoft JhengHei" w:hAnsi="Microsoft JhengHei"/>
          <w:b/>
          <w:bCs/>
          <w:i w:val="false"/>
          <w:iCs w:val="false"/>
          <w:color w:val="1F4E79"/>
          <w:sz w:val="24"/>
          <w:szCs w:val="24"/>
        </w:rPr>
        <w:t xml:space="preserve">一、半導體 — 化合物半導體／砷化鎵</w:t>
      </w:r>
    </w:p>
    <w:tbl>
      <w:tblPr>
        <w:tblW w:type="dxa" w:w="9400"/>
        <w:tblBorders>
          <w:top w:val="single" w:color="AAAAAA" w:sz="4"/>
          <w:left w:val="single" w:color="AAAAAA" w:sz="4"/>
          <w:bottom w:val="single" w:color="AAAAAA" w:sz="4"/>
          <w:right w:val="single" w:color="AAAAAA" w:sz="4"/>
          <w:insideH w:val="single" w:color="CCCCCC" w:sz="2"/>
          <w:insideV w:val="single" w:color="CCCCCC" w:sz="2"/>
        </w:tblBorders>
      </w:tblPr>
      <w:tblGrid>
        <w:gridCol w:w="1300"/>
        <w:gridCol w:w="1300"/>
        <w:gridCol w:w="1500"/>
        <w:gridCol w:w="1600"/>
        <w:gridCol w:w="3700"/>
      </w:tblGrid>
      <w:tr>
        <w:trPr>
          <w:tblHeader/>
        </w:trPr>
        <w:tc>
          <w:tcPr>
            <w:tcW w:type="dxa" w:w="1300"/>
            <w:shd w:fill="1F4E79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券商</w:t>
            </w:r>
          </w:p>
        </w:tc>
        <w:tc>
          <w:tcPr>
            <w:tcW w:type="dxa" w:w="1300"/>
            <w:shd w:fill="1F4E79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個股</w:t>
            </w:r>
          </w:p>
        </w:tc>
        <w:tc>
          <w:tcPr>
            <w:tcW w:type="dxa" w:w="1500"/>
            <w:shd w:fill="1F4E79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評等</w:t>
            </w:r>
          </w:p>
        </w:tc>
        <w:tc>
          <w:tcPr>
            <w:tcW w:type="dxa" w:w="1600"/>
            <w:shd w:fill="1F4E79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目標價（新／舊）</w:t>
            </w:r>
          </w:p>
        </w:tc>
        <w:tc>
          <w:tcPr>
            <w:tcW w:type="dxa" w:w="3700"/>
            <w:shd w:fill="1F4E79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一句話重點</w:t>
            </w:r>
          </w:p>
        </w:tc>
      </w:tr>
      <w:tr>
        <w:tc>
          <w:tcPr>
            <w:tcW w:type="dxa" w:w="13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日系外資</w:t>
            </w:r>
          </w:p>
          <w:p>
            <w:pPr>
              <w:spacing w:after="0" w:line="26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（未具名）</w:t>
            </w:r>
          </w:p>
        </w:tc>
        <w:tc>
          <w:tcPr>
            <w:tcW w:type="dxa" w:w="13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穩懋 3105</w:t>
            </w:r>
          </w:p>
        </w:tc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買進</w:t>
            </w:r>
          </w:p>
          <w:p>
            <w:pPr>
              <w:spacing w:after="0" w:line="260"/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（持有↑升評）</w:t>
            </w:r>
          </w:p>
        </w:tc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449</w:t>
            </w:r>
          </w:p>
          <w:p>
            <w:pPr>
              <w:spacing w:after="0" w:line="260"/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（前值 505）</w:t>
            </w:r>
          </w:p>
        </w:tc>
        <w:tc>
          <w:tcPr>
            <w:tcW w:type="dxa" w:w="37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看好三大成長動能、產品組合優化獲利而升評，但目標價反向下修 11%</w:t>
            </w:r>
          </w:p>
        </w:tc>
      </w:tr>
      <w:tr>
        <w:tc>
          <w:tcPr>
            <w:tcW w:type="dxa" w:w="1300"/>
            <w:shd w:fill="F2F6F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美系外資 A</w:t>
            </w:r>
          </w:p>
          <w:p>
            <w:pPr>
              <w:spacing w:after="0" w:line="26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（未具名）</w:t>
            </w:r>
          </w:p>
        </w:tc>
        <w:tc>
          <w:tcPr>
            <w:tcW w:type="dxa" w:w="1300"/>
            <w:shd w:fill="F2F6F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穩懋 3105</w:t>
            </w:r>
          </w:p>
        </w:tc>
        <w:tc>
          <w:tcPr>
            <w:tcW w:type="dxa" w:w="1500"/>
            <w:shd w:fill="F2F6F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賣出</w:t>
            </w:r>
          </w:p>
          <w:p>
            <w:pPr>
              <w:spacing w:after="0" w:line="260"/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（維持）</w:t>
            </w:r>
          </w:p>
        </w:tc>
        <w:tc>
          <w:tcPr>
            <w:tcW w:type="dxa" w:w="1600"/>
            <w:shd w:fill="F2F6F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142</w:t>
            </w:r>
          </w:p>
        </w:tc>
        <w:tc>
          <w:tcPr>
            <w:tcW w:type="dxa" w:w="3700"/>
            <w:shd w:fill="F2F6F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法說後維持最保守看法，目標價僅為日系外資的三分之一</w:t>
            </w:r>
          </w:p>
        </w:tc>
      </w:tr>
      <w:tr>
        <w:tc>
          <w:tcPr>
            <w:tcW w:type="dxa" w:w="13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美系外資 B</w:t>
            </w:r>
          </w:p>
          <w:p>
            <w:pPr>
              <w:spacing w:after="0" w:line="26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（未具名）</w:t>
            </w:r>
          </w:p>
        </w:tc>
        <w:tc>
          <w:tcPr>
            <w:tcW w:type="dxa" w:w="13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穩懋 3105</w:t>
            </w:r>
          </w:p>
        </w:tc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減碼</w:t>
            </w:r>
          </w:p>
          <w:p>
            <w:pPr>
              <w:spacing w:after="0" w:line="260"/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（維持）</w:t>
            </w:r>
          </w:p>
        </w:tc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300</w:t>
            </w:r>
          </w:p>
        </w:tc>
        <w:tc>
          <w:tcPr>
            <w:tcW w:type="dxa" w:w="37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同為美系但目標價高出 A 家逾一倍，法人分歧極大</w:t>
            </w:r>
          </w:p>
        </w:tc>
      </w:tr>
    </w:tbl>
    <w:p>
      <w:pPr>
        <w:spacing w:after="20" w:before="0" w:line="280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sz w:val="12"/>
          <w:szCs w:val="12"/>
        </w:rPr>
        <w:t xml:space="preserve">　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sz w:val="20"/>
          <w:szCs w:val="20"/>
        </w:rPr>
        <w:t xml:space="preserve">公司基本面：2026 H1 合併營收 98.47 億元（年增 34%）、EPS 3.56 元；Q2 營收 52.57 億元（季增 15%、年增 39%）、單季 EPS 2.3 元（季增 83%），合併毛利率 28.2%（季增 1.9 個百分點）。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sz w:val="20"/>
          <w:szCs w:val="20"/>
        </w:rPr>
        <w:t xml:space="preserve">Q3 公司財測：合併營收季增 low-teens（11–13%），合併毛利率 low-thirties（31–33%），美系高階手機發表旺季＋光通訊新產品量產雙引擎。</w:t>
      </w:r>
    </w:p>
    <w:p>
      <w:pPr>
        <w:spacing w:after="100" w:before="240"/>
      </w:pPr>
      <w:r>
        <w:rPr>
          <w:rFonts w:ascii="Microsoft JhengHei" w:cs="Microsoft JhengHei" w:eastAsia="Microsoft JhengHei" w:hAnsi="Microsoft JhengHei"/>
          <w:b/>
          <w:bCs/>
          <w:i w:val="false"/>
          <w:iCs w:val="false"/>
          <w:color w:val="1F4E79"/>
          <w:sz w:val="24"/>
          <w:szCs w:val="24"/>
        </w:rPr>
        <w:t xml:space="preserve">二、半導體 — 設備（先進封裝／CPO）</w:t>
      </w:r>
    </w:p>
    <w:tbl>
      <w:tblPr>
        <w:tblW w:type="dxa" w:w="9400"/>
        <w:tblBorders>
          <w:top w:val="single" w:color="AAAAAA" w:sz="4"/>
          <w:left w:val="single" w:color="AAAAAA" w:sz="4"/>
          <w:bottom w:val="single" w:color="AAAAAA" w:sz="4"/>
          <w:right w:val="single" w:color="AAAAAA" w:sz="4"/>
          <w:insideH w:val="single" w:color="CCCCCC" w:sz="2"/>
          <w:insideV w:val="single" w:color="CCCCCC" w:sz="2"/>
        </w:tblBorders>
      </w:tblPr>
      <w:tblGrid>
        <w:gridCol w:w="1300"/>
        <w:gridCol w:w="1300"/>
        <w:gridCol w:w="1500"/>
        <w:gridCol w:w="1600"/>
        <w:gridCol w:w="3700"/>
      </w:tblGrid>
      <w:tr>
        <w:trPr>
          <w:tblHeader/>
        </w:trPr>
        <w:tc>
          <w:tcPr>
            <w:tcW w:type="dxa" w:w="1300"/>
            <w:shd w:fill="1F4E79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券商</w:t>
            </w:r>
          </w:p>
        </w:tc>
        <w:tc>
          <w:tcPr>
            <w:tcW w:type="dxa" w:w="1300"/>
            <w:shd w:fill="1F4E79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個股</w:t>
            </w:r>
          </w:p>
        </w:tc>
        <w:tc>
          <w:tcPr>
            <w:tcW w:type="dxa" w:w="1500"/>
            <w:shd w:fill="1F4E79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評等</w:t>
            </w:r>
          </w:p>
        </w:tc>
        <w:tc>
          <w:tcPr>
            <w:tcW w:type="dxa" w:w="1600"/>
            <w:shd w:fill="1F4E79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目標價（新／舊）</w:t>
            </w:r>
          </w:p>
        </w:tc>
        <w:tc>
          <w:tcPr>
            <w:tcW w:type="dxa" w:w="3700"/>
            <w:shd w:fill="1F4E79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一句話重點</w:t>
            </w:r>
          </w:p>
        </w:tc>
      </w:tr>
      <w:tr>
        <w:tc>
          <w:tcPr>
            <w:tcW w:type="dxa" w:w="13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美系外資 B</w:t>
            </w:r>
          </w:p>
          <w:p>
            <w:pPr>
              <w:spacing w:after="0" w:line="26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（未具名，補充）</w:t>
            </w:r>
          </w:p>
        </w:tc>
        <w:tc>
          <w:tcPr>
            <w:tcW w:type="dxa" w:w="13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萬潤 6187</w:t>
            </w:r>
          </w:p>
        </w:tc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買進</w:t>
            </w:r>
          </w:p>
          <w:p>
            <w:pPr>
              <w:spacing w:after="0" w:line="260"/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（維持）</w:t>
            </w:r>
          </w:p>
        </w:tc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1,550</w:t>
            </w:r>
          </w:p>
          <w:p>
            <w:pPr>
              <w:spacing w:after="0" w:line="260"/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（前值 1,650）</w:t>
            </w:r>
          </w:p>
        </w:tc>
        <w:tc>
          <w:tcPr>
            <w:tcW w:type="dxa" w:w="37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認為 4 月以來回檔逾 29% 已大致反應 CPO 遞延疑慮；CPO 設備 ASP 仍有至少 20% 調漲空間</w:t>
            </w:r>
          </w:p>
        </w:tc>
      </w:tr>
      <w:tr>
        <w:tc>
          <w:tcPr>
            <w:tcW w:type="dxa" w:w="1300"/>
            <w:shd w:fill="F2F6F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美系外資 A</w:t>
            </w:r>
          </w:p>
          <w:p>
            <w:pPr>
              <w:spacing w:after="0" w:line="26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（未具名，補充）</w:t>
            </w:r>
          </w:p>
        </w:tc>
        <w:tc>
          <w:tcPr>
            <w:tcW w:type="dxa" w:w="1300"/>
            <w:shd w:fill="F2F6F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萬潤 6187</w:t>
            </w:r>
          </w:p>
        </w:tc>
        <w:tc>
          <w:tcPr>
            <w:tcW w:type="dxa" w:w="1500"/>
            <w:shd w:fill="F2F6F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買進</w:t>
            </w:r>
          </w:p>
          <w:p>
            <w:pPr>
              <w:spacing w:after="0" w:line="260"/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（初評）</w:t>
            </w:r>
          </w:p>
        </w:tc>
        <w:tc>
          <w:tcPr>
            <w:tcW w:type="dxa" w:w="1600"/>
            <w:shd w:fill="F2F6F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1,500</w:t>
            </w:r>
          </w:p>
        </w:tc>
        <w:tc>
          <w:tcPr>
            <w:tcW w:type="dxa" w:w="3700"/>
            <w:shd w:fill="F2F6F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先進封裝擴產＋次世代需求＋CPO 第二成長曲線，半導體設備業務 2026–28 CAGR 估 34%</w:t>
            </w:r>
          </w:p>
        </w:tc>
      </w:tr>
    </w:tbl>
    <w:p>
      <w:pPr>
        <w:spacing w:after="20" w:before="0" w:line="280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sz w:val="12"/>
          <w:szCs w:val="12"/>
        </w:rPr>
        <w:t xml:space="preserve">　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sz w:val="20"/>
          <w:szCs w:val="20"/>
        </w:rPr>
        <w:t xml:space="preserve">※ 兩則均為既有報告的媒體重述（目標價 1,550 已於 07/09 收錄、1,500 已於 07/15 收錄），本次補充新增的獲利調整幅度與評價論點；為自選股故另建個股摘要。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sz w:val="20"/>
          <w:szCs w:val="20"/>
        </w:rPr>
        <w:t xml:space="preserve">新增細節：2026–2028 年獲利預期分別調升 7%、調降 6%、調降 12%；ROE 自 2024 年起升逾 20%，估明後 2 年進一步升至 30–40%。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sz w:val="20"/>
          <w:szCs w:val="20"/>
        </w:rPr>
        <w:t xml:space="preserve">營運動能：6 月營收 10.12 億元（月增 38.9%、年增 87.06%）連 2 月新高；Q2 23.54 億元（季增 66.82%）創單季高；H1 37.66 億元（年增 35.97%）。</w:t>
      </w:r>
    </w:p>
    <w:p>
      <w:pPr>
        <w:spacing w:after="100" w:before="240"/>
      </w:pPr>
      <w:r>
        <w:rPr>
          <w:rFonts w:ascii="Microsoft JhengHei" w:cs="Microsoft JhengHei" w:eastAsia="Microsoft JhengHei" w:hAnsi="Microsoft JhengHei"/>
          <w:b/>
          <w:bCs/>
          <w:i w:val="false"/>
          <w:iCs w:val="false"/>
          <w:color w:val="1F4E79"/>
          <w:sz w:val="24"/>
          <w:szCs w:val="24"/>
        </w:rPr>
        <w:t xml:space="preserve">三、半導體 — 記憶體（產業觀點）</w:t>
      </w:r>
    </w:p>
    <w:tbl>
      <w:tblPr>
        <w:tblW w:type="dxa" w:w="9400"/>
        <w:tblBorders>
          <w:top w:val="single" w:color="AAAAAA" w:sz="4"/>
          <w:left w:val="single" w:color="AAAAAA" w:sz="4"/>
          <w:bottom w:val="single" w:color="AAAAAA" w:sz="4"/>
          <w:right w:val="single" w:color="AAAAAA" w:sz="4"/>
          <w:insideH w:val="single" w:color="CCCCCC" w:sz="2"/>
          <w:insideV w:val="single" w:color="CCCCCC" w:sz="2"/>
        </w:tblBorders>
      </w:tblPr>
      <w:tblGrid>
        <w:gridCol w:w="1300"/>
        <w:gridCol w:w="1300"/>
        <w:gridCol w:w="1500"/>
        <w:gridCol w:w="1600"/>
        <w:gridCol w:w="3700"/>
      </w:tblGrid>
      <w:tr>
        <w:trPr>
          <w:tblHeader/>
        </w:trPr>
        <w:tc>
          <w:tcPr>
            <w:tcW w:type="dxa" w:w="1300"/>
            <w:shd w:fill="1F4E79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券商</w:t>
            </w:r>
          </w:p>
        </w:tc>
        <w:tc>
          <w:tcPr>
            <w:tcW w:type="dxa" w:w="1300"/>
            <w:shd w:fill="1F4E79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個股</w:t>
            </w:r>
          </w:p>
        </w:tc>
        <w:tc>
          <w:tcPr>
            <w:tcW w:type="dxa" w:w="1500"/>
            <w:shd w:fill="1F4E79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評等</w:t>
            </w:r>
          </w:p>
        </w:tc>
        <w:tc>
          <w:tcPr>
            <w:tcW w:type="dxa" w:w="1600"/>
            <w:shd w:fill="1F4E79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目標價（新／舊）</w:t>
            </w:r>
          </w:p>
        </w:tc>
        <w:tc>
          <w:tcPr>
            <w:tcW w:type="dxa" w:w="3700"/>
            <w:shd w:fill="1F4E79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一句話重點</w:t>
            </w:r>
          </w:p>
        </w:tc>
      </w:tr>
      <w:tr>
        <w:tc>
          <w:tcPr>
            <w:tcW w:type="dxa" w:w="13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摩根士丹利</w:t>
            </w:r>
          </w:p>
          <w:p>
            <w:pPr>
              <w:spacing w:after="0" w:line="26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（分析師 Joseph Moore）</w:t>
            </w:r>
          </w:p>
        </w:tc>
        <w:tc>
          <w:tcPr>
            <w:tcW w:type="dxa" w:w="13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記憶體族群</w:t>
            </w:r>
          </w:p>
          <w:p>
            <w:pPr>
              <w:spacing w:after="0" w:line="26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南亞科 2408／華邦電 2344</w:t>
            </w:r>
          </w:p>
          <w:p>
            <w:pPr>
              <w:spacing w:after="0" w:line="26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威剛 3260／十銓 4967</w:t>
            </w:r>
          </w:p>
        </w:tc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看多</w:t>
            </w:r>
          </w:p>
          <w:p>
            <w:pPr>
              <w:spacing w:after="0" w:line="260"/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（產業觀點）</w:t>
            </w:r>
          </w:p>
        </w:tc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未揭露</w:t>
            </w:r>
          </w:p>
        </w:tc>
        <w:tc>
          <w:tcPr>
            <w:tcW w:type="dxa" w:w="37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資料中心記憶體嚴重供不應求，Q3 DRAM 合約價估續漲逾 25%；HBM 產能缺貨下多頭有望延續 2–3 年，恐慌拋售即為極佳進場點</w:t>
            </w:r>
          </w:p>
        </w:tc>
      </w:tr>
    </w:tbl>
    <w:p>
      <w:pPr>
        <w:spacing w:after="20" w:before="0" w:line="280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sz w:val="12"/>
          <w:szCs w:val="12"/>
        </w:rPr>
        <w:t xml:space="preserve">　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sz w:val="20"/>
          <w:szCs w:val="20"/>
        </w:rPr>
        <w:t xml:space="preserve">大摩定調：記憶體已成為 AI 伺服器與邊緣 AI 運算最核心的「供應瓶頸」；7 月中上旬的劇烈修正屬籌碼過度擁擠所致的短線修正，而非趨勢反轉。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sz w:val="20"/>
          <w:szCs w:val="20"/>
        </w:rPr>
        <w:t xml:space="preserve">市場反應：07/27 記憶體族群逆勢漲 3.75%，南亞科漲逾 8% 領軍、華邦電漲 3.56%、威剛漲 4.96% 收 402 元、十銓漲 2.29% 收 223.5 元。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sz w:val="20"/>
          <w:szCs w:val="20"/>
        </w:rPr>
        <w:t xml:space="preserve">本則無個股評等與目標價，不另建個股摘要。</w:t>
      </w:r>
    </w:p>
    <w:p>
      <w:pPr>
        <w:spacing w:after="100" w:before="240"/>
      </w:pPr>
      <w:r>
        <w:rPr>
          <w:rFonts w:ascii="Microsoft JhengHei" w:cs="Microsoft JhengHei" w:eastAsia="Microsoft JhengHei" w:hAnsi="Microsoft JhengHei"/>
          <w:b/>
          <w:bCs/>
          <w:i w:val="false"/>
          <w:iCs w:val="false"/>
          <w:color w:val="1F4E79"/>
          <w:sz w:val="24"/>
          <w:szCs w:val="24"/>
        </w:rPr>
        <w:t xml:space="preserve">四、面板／顯示器 — 玻璃基板先進封裝（產業報告）</w:t>
      </w:r>
    </w:p>
    <w:tbl>
      <w:tblPr>
        <w:tblW w:type="dxa" w:w="9400"/>
        <w:tblBorders>
          <w:top w:val="single" w:color="AAAAAA" w:sz="4"/>
          <w:left w:val="single" w:color="AAAAAA" w:sz="4"/>
          <w:bottom w:val="single" w:color="AAAAAA" w:sz="4"/>
          <w:right w:val="single" w:color="AAAAAA" w:sz="4"/>
          <w:insideH w:val="single" w:color="CCCCCC" w:sz="2"/>
          <w:insideV w:val="single" w:color="CCCCCC" w:sz="2"/>
        </w:tblBorders>
      </w:tblPr>
      <w:tblGrid>
        <w:gridCol w:w="1300"/>
        <w:gridCol w:w="1300"/>
        <w:gridCol w:w="1500"/>
        <w:gridCol w:w="1600"/>
        <w:gridCol w:w="3700"/>
      </w:tblGrid>
      <w:tr>
        <w:trPr>
          <w:tblHeader/>
        </w:trPr>
        <w:tc>
          <w:tcPr>
            <w:tcW w:type="dxa" w:w="1300"/>
            <w:shd w:fill="1F4E79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券商</w:t>
            </w:r>
          </w:p>
        </w:tc>
        <w:tc>
          <w:tcPr>
            <w:tcW w:type="dxa" w:w="1300"/>
            <w:shd w:fill="1F4E79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個股</w:t>
            </w:r>
          </w:p>
        </w:tc>
        <w:tc>
          <w:tcPr>
            <w:tcW w:type="dxa" w:w="1500"/>
            <w:shd w:fill="1F4E79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評等</w:t>
            </w:r>
          </w:p>
        </w:tc>
        <w:tc>
          <w:tcPr>
            <w:tcW w:type="dxa" w:w="1600"/>
            <w:shd w:fill="1F4E79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目標價（新／舊）</w:t>
            </w:r>
          </w:p>
        </w:tc>
        <w:tc>
          <w:tcPr>
            <w:tcW w:type="dxa" w:w="3700"/>
            <w:shd w:fill="1F4E79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一句話重點</w:t>
            </w:r>
          </w:p>
        </w:tc>
      </w:tr>
      <w:tr>
        <w:tc>
          <w:tcPr>
            <w:tcW w:type="dxa" w:w="13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摩根士丹利</w:t>
            </w:r>
          </w:p>
        </w:tc>
        <w:tc>
          <w:tcPr>
            <w:tcW w:type="dxa" w:w="13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群創 3481</w:t>
            </w:r>
          </w:p>
        </w:tc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保守</w:t>
            </w:r>
          </w:p>
          <w:p>
            <w:pPr>
              <w:spacing w:after="0" w:line="260"/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（未揭露評等）</w:t>
            </w:r>
          </w:p>
        </w:tc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未揭露</w:t>
            </w:r>
          </w:p>
        </w:tc>
        <w:tc>
          <w:tcPr>
            <w:tcW w:type="dxa" w:w="37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雖與台積電、Ibiden 合作，但量產時程估落在 2028 下半年或 2029 年，較藍思科技落後約 1 年</w:t>
            </w:r>
          </w:p>
        </w:tc>
      </w:tr>
      <w:tr>
        <w:tc>
          <w:tcPr>
            <w:tcW w:type="dxa" w:w="1300"/>
            <w:shd w:fill="F2F6F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摩根士丹利</w:t>
            </w:r>
          </w:p>
        </w:tc>
        <w:tc>
          <w:tcPr>
            <w:tcW w:type="dxa" w:w="1300"/>
            <w:shd w:fill="F2F6F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友達 2409</w:t>
            </w:r>
          </w:p>
        </w:tc>
        <w:tc>
          <w:tcPr>
            <w:tcW w:type="dxa" w:w="1500"/>
            <w:shd w:fill="F2F6F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最保守</w:t>
            </w:r>
          </w:p>
          <w:p>
            <w:pPr>
              <w:spacing w:after="0" w:line="260"/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（未揭露評等）</w:t>
            </w:r>
          </w:p>
        </w:tc>
        <w:tc>
          <w:tcPr>
            <w:tcW w:type="dxa" w:w="1600"/>
            <w:shd w:fill="F2F6F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未揭露</w:t>
            </w:r>
          </w:p>
        </w:tc>
        <w:tc>
          <w:tcPr>
            <w:tcW w:type="dxa" w:w="3700"/>
            <w:shd w:fill="F2F6F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玻璃聚焦低軌衛星天線模組與 Micro LED 光學模組，目前仍無明確量產時間表，挑戰待克服</w:t>
            </w:r>
          </w:p>
        </w:tc>
      </w:tr>
    </w:tbl>
    <w:p>
      <w:pPr>
        <w:spacing w:after="20" w:before="0" w:line="280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sz w:val="12"/>
          <w:szCs w:val="12"/>
        </w:rPr>
        <w:t xml:space="preserve">　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sz w:val="20"/>
          <w:szCs w:val="20"/>
        </w:rPr>
        <w:t xml:space="preserve">報告出具日 07/26。起因為藍思科技與英特爾 07/24 簽署 TGV（玻璃穿孔）先進封裝合作備忘錄；大摩指藍思試產線年底前就緒、2027 下半年有機會量產出貨。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sz w:val="20"/>
          <w:szCs w:val="20"/>
        </w:rPr>
        <w:t xml:space="preserve">京東方：與中國及北美 fabless 客戶合作，計畫 2027 年建置產能、2028 年量產，並企圖完成整套玻璃核心 ABF 載板製程。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sz w:val="20"/>
          <w:szCs w:val="20"/>
        </w:rPr>
        <w:t xml:space="preserve">大摩認為玻璃基板具大尺寸、低訊號耗損、高機械強度三優勢，但技術精度與良率仍是兩大障礙，須持續改善良率才能在量產階段取得附加價值與市占。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sz w:val="20"/>
          <w:szCs w:val="20"/>
        </w:rPr>
        <w:t xml:space="preserve">本則無個股評等與目標價，不另建個股摘要。</w:t>
      </w:r>
    </w:p>
    <w:p>
      <w:pPr>
        <w:spacing w:after="100" w:before="240"/>
      </w:pPr>
      <w:r>
        <w:rPr>
          <w:rFonts w:ascii="Microsoft JhengHei" w:cs="Microsoft JhengHei" w:eastAsia="Microsoft JhengHei" w:hAnsi="Microsoft JhengHei"/>
          <w:b/>
          <w:bCs/>
          <w:i w:val="false"/>
          <w:iCs w:val="false"/>
          <w:color w:val="1F4E79"/>
          <w:sz w:val="24"/>
          <w:szCs w:val="24"/>
        </w:rPr>
        <w:t xml:space="preserve">五、今日觀察重點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sz w:val="20"/>
          <w:szCs w:val="20"/>
        </w:rPr>
        <w:t xml:space="preserve">穩懋是本日唯一「同一檔股票、三家外資、三種評等」的極端分歧案例：買進 449 元 vs. 賣出 142 元，目標價差距逾 3 倍，反映法人對其光通訊成長曲線的認定差異極大。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sz w:val="20"/>
          <w:szCs w:val="20"/>
        </w:rPr>
        <w:t xml:space="preserve">大摩同日在記憶體（偏多、供應瓶頸論）與玻璃基板（偏保守、台廠落後論）兩個題材上立場相反，為今日盤面資金由記憶體撐盤、面板雙虎遭法人甩賣的主因之一。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sz w:val="20"/>
          <w:szCs w:val="20"/>
        </w:rPr>
        <w:t xml:space="preserve">自選股萬潤站回千元關（盤中亮燈漲停 1,035 元），惟三大法人上周仍合計賣超 134 張，外資報告與籌碼面方向暫不一致。</w:t>
      </w:r>
    </w:p>
    <w:p>
      <w:pPr>
        <w:spacing w:after="100" w:before="240"/>
      </w:pPr>
      <w:r>
        <w:rPr>
          <w:rFonts w:ascii="Microsoft JhengHei" w:cs="Microsoft JhengHei" w:eastAsia="Microsoft JhengHei" w:hAnsi="Microsoft JhengHei"/>
          <w:b/>
          <w:bCs/>
          <w:i w:val="false"/>
          <w:iCs w:val="false"/>
          <w:color w:val="1F4E79"/>
          <w:sz w:val="24"/>
          <w:szCs w:val="24"/>
        </w:rPr>
        <w:t xml:space="preserve">六、來源連結</w:t>
      </w:r>
    </w:p>
    <w:p>
      <w:pPr>
        <w:spacing w:after="40" w:line="260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sz w:val="18"/>
          <w:szCs w:val="18"/>
        </w:rPr>
        <w:t xml:space="preserve">穩懋（3105）法人看法分歧　中時新聞網 07/27 10:49  </w:t>
      </w:r>
      <w:hyperlink w:history="1" r:id="rId8omqhfzrzotrvqh5azdcp">
        <w:r>
          <w:rPr>
            <w:rFonts w:ascii="Microsoft JhengHei" w:cs="Microsoft JhengHei" w:eastAsia="Microsoft JhengHei" w:hAnsi="Microsoft JhengHei"/>
            <w:color w:val="0563C1"/>
            <w:sz w:val="16"/>
            <w:szCs w:val="16"/>
            <w:u w:val="single"/>
          </w:rPr>
          <w:t xml:space="preserve">https://www.chinatimes.com/realtimenews/20260727001701-260410</w:t>
        </w:r>
      </w:hyperlink>
    </w:p>
    <w:p>
      <w:pPr>
        <w:spacing w:after="40" w:line="260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sz w:val="18"/>
          <w:szCs w:val="18"/>
        </w:rPr>
        <w:t xml:space="preserve">萬潤（6187）站回千元關　中時新聞網 07/27 11:49  </w:t>
      </w:r>
      <w:hyperlink w:history="1" r:id="rIdqq2g1bbrmq1ksslrjh8v2">
        <w:r>
          <w:rPr>
            <w:rFonts w:ascii="Microsoft JhengHei" w:cs="Microsoft JhengHei" w:eastAsia="Microsoft JhengHei" w:hAnsi="Microsoft JhengHei"/>
            <w:color w:val="0563C1"/>
            <w:sz w:val="16"/>
            <w:szCs w:val="16"/>
            <w:u w:val="single"/>
          </w:rPr>
          <w:t xml:space="preserve">https://www.chinatimes.com/realtimenews/20260727001923-260410</w:t>
        </w:r>
      </w:hyperlink>
    </w:p>
    <w:p>
      <w:pPr>
        <w:spacing w:after="40" w:line="260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sz w:val="18"/>
          <w:szCs w:val="18"/>
        </w:rPr>
        <w:t xml:space="preserve">大摩玻璃基板產業報告（群創／友達）　旺得富 07/27 09:05  </w:t>
      </w:r>
      <w:hyperlink w:history="1" r:id="rIdij6o07vnj5iege61lbowr">
        <w:r>
          <w:rPr>
            <w:rFonts w:ascii="Microsoft JhengHei" w:cs="Microsoft JhengHei" w:eastAsia="Microsoft JhengHei" w:hAnsi="Microsoft JhengHei"/>
            <w:color w:val="0563C1"/>
            <w:sz w:val="16"/>
            <w:szCs w:val="16"/>
            <w:u w:val="single"/>
          </w:rPr>
          <w:t xml:space="preserve">https://wantrich.chinatimes.com/news/20260727900122-420101</w:t>
        </w:r>
      </w:hyperlink>
    </w:p>
    <w:p>
      <w:pPr>
        <w:spacing w:after="40" w:line="260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sz w:val="18"/>
          <w:szCs w:val="18"/>
        </w:rPr>
        <w:t xml:space="preserve">大摩記憶體報告（南亞科／華邦電／威剛）　旺得富 07/27 14:15  </w:t>
      </w:r>
      <w:hyperlink w:history="1" r:id="rIdf1c-alxe4grmp36azvuy3">
        <w:r>
          <w:rPr>
            <w:rFonts w:ascii="Microsoft JhengHei" w:cs="Microsoft JhengHei" w:eastAsia="Microsoft JhengHei" w:hAnsi="Microsoft JhengHei"/>
            <w:color w:val="0563C1"/>
            <w:sz w:val="16"/>
            <w:szCs w:val="16"/>
            <w:u w:val="single"/>
          </w:rPr>
          <w:t xml:space="preserve">https://wantrich.chinatimes.com/news/20260727900319-420101</w:t>
        </w:r>
      </w:hyperlink>
    </w:p>
    <w:p>
      <w:pPr>
        <w:spacing w:after="0" w:before="0" w:line="280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sz w:val="12"/>
          <w:szCs w:val="12"/>
        </w:rPr>
        <w:t xml:space="preserve">　</w:t>
      </w:r>
    </w:p>
    <w:p>
      <w:pPr>
        <w:spacing w:after="80" w:before="0" w:line="280"/>
      </w:pPr>
      <w:r>
        <w:rPr>
          <w:rFonts w:ascii="Microsoft JhengHei" w:cs="Microsoft JhengHei" w:eastAsia="Microsoft JhengHei" w:hAnsi="Microsoft JhengHei"/>
          <w:b w:val="false"/>
          <w:bCs w:val="false"/>
          <w:i/>
          <w:iCs/>
          <w:color w:val="888888"/>
          <w:sz w:val="17"/>
          <w:szCs w:val="17"/>
        </w:rPr>
        <w:t xml:space="preserve">本日報依公開新聞整理，非券商完整報告；投資決策請自行判斷並自負盈虧。</w:t>
      </w:r>
    </w:p>
    <w:sectPr>
      <w:headerReference w:type="default" r:id="rId9"/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="http://schemas.openxmlformats.org/wordprocessingml/2006/main" xmlns:r="http://schemas.openxmlformats.org/officeDocument/2006/relationships" xmlns:v="urn:schemas-microsoft-com:vml" xmlns:o="urn:schemas-microsoft-com:office:office" xmlns:w10="urn:schemas-microsoft-com:office:word">
  <w:p>
    <w:pPr>
      <w:spacing w:after="0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WordWaterMark6187" o:spid="_x0000_s2049" type="#_x0000_t136" style="position:absolute;margin-left:0;margin-top:0;width:520pt;height:80pt;rotation:315;z-index:-251656192;mso-position-horizontal:center;mso-position-horizontal-relative:margin;mso-position-vertical:center;mso-position-vertical-relative:margin" o:allowincell="f" fillcolor="#e8e8e8" stroked="f">
          <v:fill opacity=".18"/>
          <v:textpath style="font-family:&quot;Microsoft JhengHei&quot;;font-size:1pt" string="旺來 wowwow31001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JhengHei" w:cs="Microsoft JhengHei" w:eastAsia="Microsoft JhengHei" w:hAnsi="Microsoft JhengHei"/>
        <w:sz w:val="20"/>
        <w:szCs w:val="20"/>
      </w:rPr>
    </w:rPrDefault>
    <w:pPrDefault>
      <w:pPr>
        <w:spacing w:line="28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8omqhfzrzotrvqh5azdcp" Type="http://schemas.openxmlformats.org/officeDocument/2006/relationships/hyperlink" Target="https://www.chinatimes.com/realtimenews/20260727001701-260410" TargetMode="External"/><Relationship Id="rIdqq2g1bbrmq1ksslrjh8v2" Type="http://schemas.openxmlformats.org/officeDocument/2006/relationships/hyperlink" Target="https://www.chinatimes.com/realtimenews/20260727001923-260410" TargetMode="External"/><Relationship Id="rIdij6o07vnj5iege61lbowr" Type="http://schemas.openxmlformats.org/officeDocument/2006/relationships/hyperlink" Target="https://wantrich.chinatimes.com/news/20260727900122-420101" TargetMode="External"/><Relationship Id="rIdf1c-alxe4grmp36azvuy3" Type="http://schemas.openxmlformats.org/officeDocument/2006/relationships/hyperlink" Target="https://wantrich.chinatimes.com/news/20260727900319-420101" TargetMode="External"/><Relationship Id="rId11" Type="http://schemas.openxmlformats.org/officeDocument/2006/relationships/fontTable" Target="fontTable.xml"/><Relationship Id="rId9" Type="http://schemas.openxmlformats.org/officeDocument/2006/relationships/header" Target="header1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2026-07-27T11:18:52.740Z</dcterms:created>
  <dcterms:modified xsi:type="dcterms:W3CDTF">2026-07-27T11:18:52.740Z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