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32"/>
        </w:rPr>
        <w:t>券商研究報告總覽　2026/07/28（早盤場次）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66666"/>
          <w:sz w:val="18"/>
        </w:rPr>
        <w:t>掃描區間：2026/07/27 12:00 ~ 2026/07/28 08:15（台北時間）　│　新增觀點 15 則．個股 14 檔　│　來源：公開新聞整理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本場次重點</w:t>
      </w:r>
    </w:p>
    <w:p>
      <w:pPr>
        <w:spacing w:after="4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自選股萬潤(6187)：瑞銀(UBS)首度評等即給 1550 元目標價，為本次唯一新增外資單一機構評等；萬潤 7/27 攻上漲停 1035 元、站上千元大關。</w:t>
      </w:r>
    </w:p>
    <w:p>
      <w:pPr>
        <w:spacing w:after="4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本土大咖投顧一口氣調研 PC／主機板 4 檔全給「買進」，華碩(2357) 1200 元為本場次最高單一目標價；主軸為 AI Server 爆發與 NVIDIA RTX Spark 帶動的地端 AI 代理需求。</w:t>
      </w:r>
    </w:p>
    <w:p>
      <w:pPr>
        <w:spacing w:after="4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亞翔(6139) 同日出現兩套估值：本土老牌投顧 1100 元、另 2 家券商 1280~1500 元，2026 年 EPS 預估落差達 47.92~51.89 元，建議以在手訂單 4400 億元的認列節奏交叉檢視。</w:t>
      </w:r>
    </w:p>
    <w:p>
      <w:pPr>
        <w:spacing w:after="4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穩懋(3105) 法說會後評價分歧持續擴大：本土大型投顧 461 元（本次新增），對照 7/27 已收錄之日系外資 449 元、美系外資 300 元與 142 元，最高與最低相差逾 3 倍。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依產業別彙整</w:t>
      </w:r>
    </w:p>
    <w:p>
      <w:pPr>
        <w:spacing w:before="140" w:after="40"/>
      </w:pPr>
      <w:r>
        <w:rPr>
          <w:rFonts w:ascii="Microsoft JhengHei" w:hAnsi="Microsoft JhengHei" w:eastAsia="Microsoft JhengHei"/>
          <w:b/>
          <w:color w:val="2E5C8A"/>
          <w:sz w:val="21"/>
        </w:rPr>
        <w:t>▍半導體：設備／測試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04"/>
        <w:gridCol w:w="1191"/>
        <w:gridCol w:w="1077"/>
        <w:gridCol w:w="907"/>
        <w:gridCol w:w="3685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目標價(新)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目標價(舊)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瑞銀(UBS)／外資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萬潤(6187)　★自選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買進(首次評等)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1550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—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首評即喊1550元，看好CoWoS擴產延續、封測廠布局CPO，即將出貨矽品等大廠，明年EPS挑戰20元以上。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本土老牌投顧(未具名)／內資</w:t>
            </w:r>
          </w:p>
        </w:tc>
        <w:tc>
          <w:tcPr>
            <w:tcW w:type="dxa" w:w="130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欣銓(3264)</w:t>
            </w:r>
          </w:p>
        </w:tc>
        <w:tc>
          <w:tcPr>
            <w:tcW w:type="dxa" w:w="119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買進(維持)</w:t>
            </w:r>
          </w:p>
        </w:tc>
        <w:tc>
          <w:tcPr>
            <w:tcW w:type="dxa" w:w="107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270</w:t>
            </w:r>
          </w:p>
        </w:tc>
        <w:tc>
          <w:tcPr>
            <w:tcW w:type="dxa" w:w="90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龍潭新廠7月投產，AI ASIC與光通訊雙引擎，2026/27年EPS估9.71/13.39元。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本土大型投顧(未具名)／內資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穩懋(3105)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買進(維持)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461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Q2單季EPS 2.3元優於預期，光通訊成最重要成長引擎，2026/27年EPS估8.78/10.98元。</w:t>
            </w:r>
          </w:p>
        </w:tc>
      </w:tr>
    </w:tbl>
    <w:p>
      <w:pPr>
        <w:spacing w:before="140" w:after="40"/>
      </w:pPr>
      <w:r>
        <w:rPr>
          <w:rFonts w:ascii="Microsoft JhengHei" w:hAnsi="Microsoft JhengHei" w:eastAsia="Microsoft JhengHei"/>
          <w:b/>
          <w:color w:val="2E5C8A"/>
          <w:sz w:val="21"/>
        </w:rPr>
        <w:t>▍電源／電力電子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04"/>
        <w:gridCol w:w="1191"/>
        <w:gridCol w:w="1077"/>
        <w:gridCol w:w="907"/>
        <w:gridCol w:w="3685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目標價(新)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目標價(舊)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法人(未具名)／內資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台達電(2308)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買進(維持)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2565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800VDC僅是導入時程遞延、長期趨勢不變，Q2營收1832.56億元季增15%創單季新高。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法人(未具名)／內資</w:t>
            </w:r>
          </w:p>
        </w:tc>
        <w:tc>
          <w:tcPr>
            <w:tcW w:type="dxa" w:w="130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光寶科(2301)</w:t>
            </w:r>
          </w:p>
        </w:tc>
        <w:tc>
          <w:tcPr>
            <w:tcW w:type="dxa" w:w="119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買進(維持)</w:t>
            </w:r>
          </w:p>
        </w:tc>
        <w:tc>
          <w:tcPr>
            <w:tcW w:type="dxa" w:w="107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280</w:t>
            </w:r>
          </w:p>
        </w:tc>
        <w:tc>
          <w:tcPr>
            <w:tcW w:type="dxa" w:w="90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受惠高階伺服器電源、BBU、CDU液冷與Power Rack需求，Q2營收527.04億元季增21.4%。</w:t>
            </w:r>
          </w:p>
        </w:tc>
      </w:tr>
    </w:tbl>
    <w:p>
      <w:pPr>
        <w:spacing w:before="140" w:after="40"/>
      </w:pPr>
      <w:r>
        <w:rPr>
          <w:rFonts w:ascii="Microsoft JhengHei" w:hAnsi="Microsoft JhengHei" w:eastAsia="Microsoft JhengHei"/>
          <w:b/>
          <w:color w:val="2E5C8A"/>
          <w:sz w:val="21"/>
        </w:rPr>
        <w:t>▍PC／主機板／AI伺服器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04"/>
        <w:gridCol w:w="1191"/>
        <w:gridCol w:w="1077"/>
        <w:gridCol w:w="907"/>
        <w:gridCol w:w="3685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目標價(新)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目標價(舊)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本土大咖投顧(未具名)／內資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華碩(2357)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1200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Server呈爆發式成長，2026/27年Server營收估年增119%/18%，以2027年EPS 81.8元×15倍PE推得目標價。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本土大咖投顧(未具名)／內資</w:t>
            </w:r>
          </w:p>
        </w:tc>
        <w:tc>
          <w:tcPr>
            <w:tcW w:type="dxa" w:w="130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技嘉(2376)</w:t>
            </w:r>
          </w:p>
        </w:tc>
        <w:tc>
          <w:tcPr>
            <w:tcW w:type="dxa" w:w="119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</w:r>
          </w:p>
        </w:tc>
        <w:tc>
          <w:tcPr>
            <w:tcW w:type="dxa" w:w="107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440</w:t>
            </w:r>
          </w:p>
        </w:tc>
        <w:tc>
          <w:tcPr>
            <w:tcW w:type="dxa" w:w="90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AI Server比重高受惠CSP資本支出上修，RTX Spark明年估貢獻營收、獲利3%/4%。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本土大咖投顧(未具名)／內資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微星(2377)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160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受惠PC漲價潮與RTX Spark地端AI代理需求，明年估貢獻營收、獲利7%/9%。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本土大咖投顧(未具名)／內資</w:t>
            </w:r>
          </w:p>
        </w:tc>
        <w:tc>
          <w:tcPr>
            <w:tcW w:type="dxa" w:w="130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華擎(3515)</w:t>
            </w:r>
          </w:p>
        </w:tc>
        <w:tc>
          <w:tcPr>
            <w:tcW w:type="dxa" w:w="119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</w:r>
          </w:p>
        </w:tc>
        <w:tc>
          <w:tcPr>
            <w:tcW w:type="dxa" w:w="107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310</w:t>
            </w:r>
          </w:p>
        </w:tc>
        <w:tc>
          <w:tcPr>
            <w:tcW w:type="dxa" w:w="90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AI Server占比高，CSP 2026年資本支出成長預估由年增64%上修至85.9%為主要利多。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FactSet彙整(9位分析師)／外資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川湖(2059)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共識(未列評等)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9000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—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2026年EPS預估中位數由180.67元大幅上修至239.41元(+32%)，2027/28年估220.12/225.12元(逐年遞減待確認)。</w:t>
            </w:r>
          </w:p>
        </w:tc>
      </w:tr>
    </w:tbl>
    <w:p>
      <w:pPr>
        <w:spacing w:before="140" w:after="40"/>
      </w:pPr>
      <w:r>
        <w:rPr>
          <w:rFonts w:ascii="Microsoft JhengHei" w:hAnsi="Microsoft JhengHei" w:eastAsia="Microsoft JhengHei"/>
          <w:b/>
          <w:color w:val="2E5C8A"/>
          <w:sz w:val="21"/>
        </w:rPr>
        <w:t>▍電子材料／PCB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04"/>
        <w:gridCol w:w="1191"/>
        <w:gridCol w:w="1077"/>
        <w:gridCol w:w="907"/>
        <w:gridCol w:w="3685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目標價(新)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目標價(舊)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FactSet彙整(15位分析師)／外資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台燿(6274)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共識(未列評等)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1975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—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2026年EPS預估中位數由33.1元小幅上修至33.64元，2027/28年估63.46/114.47元，反映AI高階CCL需求。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法人(未具名)／內資</w:t>
            </w:r>
          </w:p>
        </w:tc>
        <w:tc>
          <w:tcPr>
            <w:tcW w:type="dxa" w:w="130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南亞(1303)</w:t>
            </w:r>
          </w:p>
        </w:tc>
        <w:tc>
          <w:tcPr>
            <w:tcW w:type="dxa" w:w="119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未明列評等</w:t>
            </w:r>
          </w:p>
        </w:tc>
        <w:tc>
          <w:tcPr>
            <w:tcW w:type="dxa" w:w="107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260</w:t>
            </w:r>
          </w:p>
        </w:tc>
        <w:tc>
          <w:tcPr>
            <w:tcW w:type="dxa" w:w="90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玻纖布、CCL供不應求，加上轉投資南亞科、南電強力貢獻，2026年EPS估11.43元。</w:t>
            </w:r>
          </w:p>
        </w:tc>
      </w:tr>
    </w:tbl>
    <w:p>
      <w:pPr>
        <w:spacing w:before="140" w:after="40"/>
      </w:pPr>
      <w:r>
        <w:rPr>
          <w:rFonts w:ascii="Microsoft JhengHei" w:hAnsi="Microsoft JhengHei" w:eastAsia="Microsoft JhengHei"/>
          <w:b/>
          <w:color w:val="2E5C8A"/>
          <w:sz w:val="21"/>
        </w:rPr>
        <w:t>▍廠務工程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04"/>
        <w:gridCol w:w="1191"/>
        <w:gridCol w:w="1077"/>
        <w:gridCol w:w="907"/>
        <w:gridCol w:w="3685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目標價(新)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目標價(舊)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本土老牌投顧(未具名)／內資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亞翔(6139)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1100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上半年新增訂單3037億元年增164%、在手訂單4400億元，2026/27年EPS估51.89/101.15元。</w:t>
            </w:r>
          </w:p>
        </w:tc>
      </w:tr>
      <w:tr>
        <w:tc>
          <w:tcPr>
            <w:tcW w:type="dxa" w:w="147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券商2家(未具名)／內資</w:t>
            </w:r>
          </w:p>
        </w:tc>
        <w:tc>
          <w:tcPr>
            <w:tcW w:type="dxa" w:w="1304"/>
            <w:shd w:val="clear" w:color="auto" w:fill="EEF2F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亞翔(6139)</w:t>
            </w:r>
          </w:p>
        </w:tc>
        <w:tc>
          <w:tcPr>
            <w:tcW w:type="dxa" w:w="1191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看多</w:t>
            </w:r>
          </w:p>
        </w:tc>
        <w:tc>
          <w:tcPr>
            <w:tcW w:type="dxa" w:w="107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1280~1500</w:t>
            </w:r>
          </w:p>
        </w:tc>
        <w:tc>
          <w:tcPr>
            <w:tcW w:type="dxa" w:w="907"/>
            <w:shd w:val="clear" w:color="auto" w:fill="EEF2F8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—</w:t>
            </w:r>
          </w:p>
        </w:tc>
        <w:tc>
          <w:tcPr>
            <w:tcW w:type="dxa" w:w="3685"/>
            <w:shd w:val="clear" w:color="auto" w:fill="EEF2F8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同日另有2家券商出具報告，2026年營收估1077.06~1148.89億元、EPS 47.92~55.85元，較上列投顧保守。</w:t>
            </w:r>
          </w:p>
        </w:tc>
      </w:tr>
    </w:tbl>
    <w:p>
      <w:pPr>
        <w:spacing w:before="140" w:after="40"/>
      </w:pPr>
      <w:r>
        <w:rPr>
          <w:rFonts w:ascii="Microsoft JhengHei" w:hAnsi="Microsoft JhengHei" w:eastAsia="Microsoft JhengHei"/>
          <w:b/>
          <w:color w:val="2E5C8A"/>
          <w:sz w:val="21"/>
        </w:rPr>
        <w:t>▍運輸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04"/>
        <w:gridCol w:w="1191"/>
        <w:gridCol w:w="1077"/>
        <w:gridCol w:w="907"/>
        <w:gridCol w:w="3685"/>
      </w:tblGrid>
      <w:tr>
        <w:tc>
          <w:tcPr>
            <w:tcW w:type="dxa" w:w="147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04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191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07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目標價(新)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目標價(舊)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第一金證券／內資</w:t>
            </w:r>
          </w:p>
        </w:tc>
        <w:tc>
          <w:tcPr>
            <w:tcW w:type="dxa" w:w="130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長榮航(2618)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看多</w:t>
            </w:r>
          </w:p>
        </w:tc>
        <w:tc>
          <w:tcPr>
            <w:tcW w:type="dxa" w:w="107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48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未揭露</w:t>
            </w:r>
          </w:p>
        </w:tc>
        <w:tc>
          <w:tcPr>
            <w:tcW w:type="dxa" w:w="3685"/>
          </w:tcPr>
          <w:p>
            <w:pPr>
              <w:spacing w:after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2026年EPS估4.67元；原文所載2026年營收262.562億元與公司規模不符，數字待確認。</w:t>
            </w:r>
          </w:p>
        </w:tc>
      </w:tr>
    </w:tbl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同場次已收錄、僅補充說明者</w:t>
      </w:r>
    </w:p>
    <w:p>
      <w:pPr>
        <w:spacing w:after="4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國巨*(2327)：7/27 盤中一度重挫逾 51% 至 590 元，中時引述大摩 7/23 報告重申基準情境 1465 元（樂觀 2075／悲觀 685），評等與目標價未變動，7/29 法說會為止跌關鍵；本則已於 7/23、7/27 收錄，不重複建檔。</w:t>
      </w:r>
    </w:p>
    <w:p>
      <w:pPr>
        <w:spacing w:after="40" w:line="276" w:lineRule="auto"/>
        <w:ind w:left="340" w:hanging="198"/>
      </w:pPr>
      <w:r>
        <w:rPr>
          <w:rFonts w:ascii="Microsoft JhengHei" w:hAnsi="Microsoft JhengHei" w:eastAsia="Microsoft JhengHei"/>
          <w:b w:val="0"/>
          <w:sz w:val="20"/>
        </w:rPr>
        <w:t>． 萬潤(6187)：7/27 已收錄之「歐系外資 1550 元」，經本則新聞確認機構為瑞銀(UBS)且屬首次評等，本場次補正機構名稱並另建摘要。</w:t>
      </w:r>
    </w:p>
    <w:p>
      <w:pPr>
        <w:spacing w:before="180" w:after="60"/>
        <w:pBdr>
          <w:bottom w:val="single" w:sz="6" w:space="2" w:color="1F3864"/>
        </w:pBdr>
      </w:pPr>
      <w:r>
        <w:rPr>
          <w:rFonts w:ascii="Microsoft JhengHei" w:hAnsi="Microsoft JhengHei" w:eastAsia="Microsoft JhengHei"/>
          <w:b/>
          <w:color w:val="1F3864"/>
          <w:sz w:val="22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17:40 萬潤外資評價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https://www.ftnn.com.tw/news/564635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2026/7/28 06:06 電腦主機板4檔評等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https://www.ftnn.com.tw/news/564791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2026/7/28 07:40 電源雙雄目標價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https://www.ftnn.com.tw/news/564785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23:50 亞翔在手訂單與目標價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https://www.ftnn.com.tw/news/564782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18:15 欣銓法說與目標價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https://www.ftnn.com.tw/news/564704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18:00 穩懋Q2獲利與目標價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https://www.ftnn.com.tw/news/564687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FTNN 新聞網 2026/7/27 21:00 南亞法人目標價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https://www.ftnn.com.tw/news/564750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鉅亨網 2026/7/27 16:10 川湖FactSet分析師預估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https://news.cnyes.com/news/id/6546786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鉅亨網 2026/7/27 18:11 台燿FactSet分析師預估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https://news.cnyes.com/news/id/6547025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CMoney 2026/7/27 18:50 亞翔券商評等報告彙整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https://www.cmoney.tw/notes/note-detail.aspx?nid=1241265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CMoney 2026/7/27 18:50 長榮航第一金證券評等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https://www.cmoney.tw/notes/note-detail.aspx?nid=1241267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7"/>
        </w:rPr>
        <w:t xml:space="preserve">中時新聞網 2026/7/27 12:34 國巨重挫與大摩情境目標價  </w:t>
      </w:r>
      <w:r>
        <w:rPr>
          <w:rFonts w:ascii="Microsoft JhengHei" w:hAnsi="Microsoft JhengHei" w:eastAsia="Microsoft JhengHei"/>
          <w:b w:val="0"/>
          <w:color w:val="0563C1"/>
          <w:sz w:val="16"/>
        </w:rPr>
        <w:t>https://www.chinatimes.com/realtimenews/20260727002087-260410</w:t>
      </w:r>
    </w:p>
    <w:p>
      <w:pPr>
        <w:spacing w:before="200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本總覽依公開新聞整理，非完整券商報告；數字如與原始報告不符，以券商正式報告為準。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