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Microsoft JhengHei" w:hAnsi="Microsoft JhengHei" w:eastAsia="Microsoft JhengHei" w:cs="Microsoft JhengHei"/>
          <w:b/>
          <w:color w:val="1F3864"/>
          <w:sz w:val="34"/>
        </w:rPr>
        <w:t>台股券商研究報告 日報總覽</w:t>
      </w:r>
    </w:p>
    <w:p>
      <w:pPr>
        <w:spacing w:before="0" w:after="16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20"/>
        </w:rPr>
        <w:t>2026 年 7 月 31 日（五）盤後場次　｜　收錄區間：7/31 早盤 ～ 7/31 盤後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本場次新增 18 則券商／法人觀點，涵蓋 11 檔個股、1 則產業研調與 3 則大盤策略。焦點為日月光投控法說後土洋法人全面調升目標價（日系外資最高 800 元）、力成獲歐美系外資雙雙升價（美系 300 → 360 元）、高盛今年第四度上修信驊至 22,000 元。大盤同日出現史上最大單日漲點 3,186.45 點，多數個股觀點為法說行情與跌深反彈的組合。</w:t>
      </w:r>
    </w:p>
    <w:p>
      <w:pPr>
        <w:spacing w:before="240" w:after="80" w:line="276" w:lineRule="auto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半導體 － 封裝測試</w:t>
      </w:r>
    </w:p>
    <w:p>
      <w:pPr>
        <w:spacing w:before="160" w:after="6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日月光投控（3711）｜法說報喜，土洋法人全面調升目標價，日系外資最高喊 800 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304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券商</w:t>
            </w:r>
          </w:p>
        </w:tc>
        <w:tc>
          <w:tcPr>
            <w:tcW w:type="dxa" w:w="1191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評等</w:t>
            </w:r>
          </w:p>
        </w:tc>
        <w:tc>
          <w:tcPr>
            <w:tcW w:type="dxa" w:w="1417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目標價（新／舊）</w:t>
            </w:r>
          </w:p>
        </w:tc>
        <w:tc>
          <w:tcPr>
            <w:tcW w:type="dxa" w:w="1077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調整</w:t>
            </w:r>
          </w:p>
        </w:tc>
        <w:tc>
          <w:tcPr>
            <w:tcW w:type="dxa" w:w="4762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304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日系外資</w:t>
            </w:r>
          </w:p>
        </w:tc>
        <w:tc>
          <w:tcPr>
            <w:tcW w:type="dxa" w:w="119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未揭露（上調）</w:t>
            </w:r>
          </w:p>
        </w:tc>
        <w:tc>
          <w:tcPr>
            <w:tcW w:type="dxa" w:w="141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800 ／ 未揭露</w:t>
            </w:r>
          </w:p>
        </w:tc>
        <w:tc>
          <w:tcPr>
            <w:tcW w:type="dxa" w:w="107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C00000"/>
                <w:sz w:val="19"/>
              </w:rPr>
              <w:t>▲ 全場最高</w:t>
            </w:r>
          </w:p>
        </w:tc>
        <w:tc>
          <w:tcPr>
            <w:tcW w:type="dxa" w:w="4762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LEAP 先進封測需求遠優於原預期，今年 EPS 上看 2 個股本、明年挑戰 3 個股本</w:t>
            </w:r>
          </w:p>
        </w:tc>
      </w:tr>
      <w:tr>
        <w:tc>
          <w:tcPr>
            <w:tcW w:type="dxa" w:w="1304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日美歐系外資（5 家）</w:t>
            </w:r>
          </w:p>
        </w:tc>
        <w:tc>
          <w:tcPr>
            <w:tcW w:type="dxa" w:w="119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未揭露（上調）</w:t>
            </w:r>
          </w:p>
        </w:tc>
        <w:tc>
          <w:tcPr>
            <w:tcW w:type="dxa" w:w="141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628 ～ 750</w:t>
            </w:r>
          </w:p>
        </w:tc>
        <w:tc>
          <w:tcPr>
            <w:tcW w:type="dxa" w:w="107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C00000"/>
                <w:sz w:val="19"/>
              </w:rPr>
              <w:t>▲ 全面上調</w:t>
            </w:r>
          </w:p>
        </w:tc>
        <w:tc>
          <w:tcPr>
            <w:tcW w:type="dxa" w:w="4762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過半目標價落在 7 字頭；Q4 ATM 毛利率可望突破 3 成、CPO 第四季初期量產</w:t>
            </w:r>
          </w:p>
        </w:tc>
      </w:tr>
      <w:tr>
        <w:tc>
          <w:tcPr>
            <w:tcW w:type="dxa" w:w="1304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本土法人（5 家）</w:t>
            </w:r>
          </w:p>
        </w:tc>
        <w:tc>
          <w:tcPr>
            <w:tcW w:type="dxa" w:w="119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未揭露（上調）</w:t>
            </w:r>
          </w:p>
        </w:tc>
        <w:tc>
          <w:tcPr>
            <w:tcW w:type="dxa" w:w="141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700 以上</w:t>
            </w:r>
          </w:p>
        </w:tc>
        <w:tc>
          <w:tcPr>
            <w:tcW w:type="dxa" w:w="107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C00000"/>
                <w:sz w:val="19"/>
              </w:rPr>
              <w:t>▲ 全面上調</w:t>
            </w:r>
          </w:p>
        </w:tc>
        <w:tc>
          <w:tcPr>
            <w:tcW w:type="dxa" w:w="4762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Q3 合併營收估季增 21～22% 遠超原估的個位數成長，單季 EPS 上修至 4.83～5.42 元</w:t>
            </w:r>
          </w:p>
        </w:tc>
      </w:tr>
    </w:tbl>
    <w:p>
      <w:pPr>
        <w:spacing w:before="60" w:after="4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※ Q2 EPS 4.8 元、上半年 8.03 元創歷年同期最佳；2026 資本支出自 85 億美元大幅上調 23.5% 至 105 億美元。7/31 一字鎖漲停 555 元。</w:t>
      </w:r>
    </w:p>
    <w:p>
      <w:pPr>
        <w:spacing w:before="160" w:after="6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力成（6239）｜法說後歐美系外資同步升價，美系 360 元為外資圈最高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304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券商</w:t>
            </w:r>
          </w:p>
        </w:tc>
        <w:tc>
          <w:tcPr>
            <w:tcW w:type="dxa" w:w="1191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評等</w:t>
            </w:r>
          </w:p>
        </w:tc>
        <w:tc>
          <w:tcPr>
            <w:tcW w:type="dxa" w:w="1417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目標價（新／舊）</w:t>
            </w:r>
          </w:p>
        </w:tc>
        <w:tc>
          <w:tcPr>
            <w:tcW w:type="dxa" w:w="1077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調整</w:t>
            </w:r>
          </w:p>
        </w:tc>
        <w:tc>
          <w:tcPr>
            <w:tcW w:type="dxa" w:w="4762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304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美系外資</w:t>
            </w:r>
          </w:p>
        </w:tc>
        <w:tc>
          <w:tcPr>
            <w:tcW w:type="dxa" w:w="119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未揭露（上調）</w:t>
            </w:r>
          </w:p>
        </w:tc>
        <w:tc>
          <w:tcPr>
            <w:tcW w:type="dxa" w:w="141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360 ／ 300</w:t>
            </w:r>
          </w:p>
        </w:tc>
        <w:tc>
          <w:tcPr>
            <w:tcW w:type="dxa" w:w="107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C00000"/>
                <w:sz w:val="19"/>
              </w:rPr>
              <w:t>▲ +20.0%</w:t>
            </w:r>
          </w:p>
        </w:tc>
        <w:tc>
          <w:tcPr>
            <w:tcW w:type="dxa" w:w="4762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下半年 AI 伺服器、HBM、SSD 需求強勁，NAND 封測營收年增 69% 為主要動能</w:t>
            </w:r>
          </w:p>
        </w:tc>
      </w:tr>
      <w:tr>
        <w:tc>
          <w:tcPr>
            <w:tcW w:type="dxa" w:w="1304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歐系外資</w:t>
            </w:r>
          </w:p>
        </w:tc>
        <w:tc>
          <w:tcPr>
            <w:tcW w:type="dxa" w:w="119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未揭露（上調）</w:t>
            </w:r>
          </w:p>
        </w:tc>
        <w:tc>
          <w:tcPr>
            <w:tcW w:type="dxa" w:w="141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260 ／ 240</w:t>
            </w:r>
          </w:p>
        </w:tc>
        <w:tc>
          <w:tcPr>
            <w:tcW w:type="dxa" w:w="107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C00000"/>
                <w:sz w:val="19"/>
              </w:rPr>
              <w:t>▲ +8.3%</w:t>
            </w:r>
          </w:p>
        </w:tc>
        <w:tc>
          <w:tcPr>
            <w:tcW w:type="dxa" w:w="4762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看好 2027-28 年 FCBGA 與 FOPLP 新訂單，重申明後年獲利創新高</w:t>
            </w:r>
          </w:p>
        </w:tc>
      </w:tr>
      <w:tr>
        <w:tc>
          <w:tcPr>
            <w:tcW w:type="dxa" w:w="1304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本土法人（多家）</w:t>
            </w:r>
          </w:p>
        </w:tc>
        <w:tc>
          <w:tcPr>
            <w:tcW w:type="dxa" w:w="119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未揭露</w:t>
            </w:r>
          </w:p>
        </w:tc>
        <w:tc>
          <w:tcPr>
            <w:tcW w:type="dxa" w:w="141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400（最高）</w:t>
            </w:r>
          </w:p>
        </w:tc>
        <w:tc>
          <w:tcPr>
            <w:tcW w:type="dxa" w:w="107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C00000"/>
                <w:sz w:val="19"/>
              </w:rPr>
              <w:t>▲ 6 家逾 300</w:t>
            </w:r>
          </w:p>
        </w:tc>
        <w:tc>
          <w:tcPr>
            <w:tcW w:type="dxa" w:w="4762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與超微合作 FOPLP 估 2027 年中量產；與博通新加坡合資公司發展 OE／CPO</w:t>
            </w:r>
          </w:p>
        </w:tc>
      </w:tr>
    </w:tbl>
    <w:p>
      <w:pPr>
        <w:spacing w:before="60" w:after="4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※ 原始報導日為 7/29，本場次補收錄。7/30 除息 4.5 元參考價 228.5 元，7/31 隨封測族群強彈。</w:t>
      </w:r>
    </w:p>
    <w:p>
      <w:pPr>
        <w:spacing w:before="240" w:after="80" w:line="276" w:lineRule="auto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半導體 － IC 設計</w:t>
      </w:r>
    </w:p>
    <w:p>
      <w:pPr>
        <w:spacing w:before="160" w:after="6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信驊（5274）｜高盛今年第四度上修目標價至 22,000 元，重申買進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304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券商</w:t>
            </w:r>
          </w:p>
        </w:tc>
        <w:tc>
          <w:tcPr>
            <w:tcW w:type="dxa" w:w="1191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評等</w:t>
            </w:r>
          </w:p>
        </w:tc>
        <w:tc>
          <w:tcPr>
            <w:tcW w:type="dxa" w:w="1417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目標價（新／舊）</w:t>
            </w:r>
          </w:p>
        </w:tc>
        <w:tc>
          <w:tcPr>
            <w:tcW w:type="dxa" w:w="1077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調整</w:t>
            </w:r>
          </w:p>
        </w:tc>
        <w:tc>
          <w:tcPr>
            <w:tcW w:type="dxa" w:w="4762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304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高盛</w:t>
            </w:r>
          </w:p>
        </w:tc>
        <w:tc>
          <w:tcPr>
            <w:tcW w:type="dxa" w:w="119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買進（重申）</w:t>
            </w:r>
          </w:p>
        </w:tc>
        <w:tc>
          <w:tcPr>
            <w:tcW w:type="dxa" w:w="141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22,000 ／ 20,000</w:t>
            </w:r>
          </w:p>
        </w:tc>
        <w:tc>
          <w:tcPr>
            <w:tcW w:type="dxa" w:w="107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C00000"/>
                <w:sz w:val="19"/>
              </w:rPr>
              <w:t>▲ +10.0%</w:t>
            </w:r>
          </w:p>
        </w:tc>
        <w:tc>
          <w:tcPr>
            <w:tcW w:type="dxa" w:w="4762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Q2 營收季增 23%、年增 72% 優於預期；Q3 營收估季增 22%、毛利率守 69.5%</w:t>
            </w:r>
          </w:p>
        </w:tc>
      </w:tr>
      <w:tr>
        <w:tc>
          <w:tcPr>
            <w:tcW w:type="dxa" w:w="1304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花旗（既有）</w:t>
            </w:r>
          </w:p>
        </w:tc>
        <w:tc>
          <w:tcPr>
            <w:tcW w:type="dxa" w:w="119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未揭露</w:t>
            </w:r>
          </w:p>
        </w:tc>
        <w:tc>
          <w:tcPr>
            <w:tcW w:type="dxa" w:w="141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22,500</w:t>
            </w:r>
          </w:p>
        </w:tc>
        <w:tc>
          <w:tcPr>
            <w:tcW w:type="dxa" w:w="107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－ 對照</w:t>
            </w:r>
          </w:p>
        </w:tc>
        <w:tc>
          <w:tcPr>
            <w:tcW w:type="dxa" w:w="4762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法人目標價次高；高盛 22,000 元為市場第三高</w:t>
            </w:r>
          </w:p>
        </w:tc>
      </w:tr>
      <w:tr>
        <w:tc>
          <w:tcPr>
            <w:tcW w:type="dxa" w:w="1304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瑞銀／滙豐（既有）</w:t>
            </w:r>
          </w:p>
        </w:tc>
        <w:tc>
          <w:tcPr>
            <w:tcW w:type="dxa" w:w="119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未揭露</w:t>
            </w:r>
          </w:p>
        </w:tc>
        <w:tc>
          <w:tcPr>
            <w:tcW w:type="dxa" w:w="141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24,000（待確認）</w:t>
            </w:r>
          </w:p>
        </w:tc>
        <w:tc>
          <w:tcPr>
            <w:tcW w:type="dxa" w:w="107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－ 對照</w:t>
            </w:r>
          </w:p>
        </w:tc>
        <w:tc>
          <w:tcPr>
            <w:tcW w:type="dxa" w:w="4762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報導文字有誤植，券商歸屬與數字待確認</w:t>
            </w:r>
          </w:p>
        </w:tc>
      </w:tr>
    </w:tbl>
    <w:p>
      <w:pPr>
        <w:spacing w:before="60" w:after="4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※ 高盛四大成長動能：Agentic AI 帶動 BMC 需求（2026 年 850 萬顆 → 2027 年 1,230 萬顆）、AI ASIC 部署加速、AST2700 滲透率 2026-28 年達 5%／22%／38%、載板瓶頸緩解。8/5 法說。7/31 漲停。</w:t>
      </w:r>
    </w:p>
    <w:p>
      <w:pPr>
        <w:spacing w:before="160" w:after="60" w:line="276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聯發科（2454）｜法說會（公司展望，本場次無新券商評等）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701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8107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Q2 實績</w:t>
            </w:r>
          </w:p>
        </w:tc>
        <w:tc>
          <w:tcPr>
            <w:tcW w:type="dxa" w:w="810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營收 1,521.83 億元季增 2%、毛利率 46.2%、EPS 15.28 元；上半年 EPS 30.45 元（賺逾 3 個股本）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Q3 財測</w:t>
            </w:r>
          </w:p>
        </w:tc>
        <w:tc>
          <w:tcPr>
            <w:tcW w:type="dxa" w:w="810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營收季增 0～5%、年增 7～12%；毛利率 46% ± 1.5%、費用率 31% ± 2%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AI ASIC</w:t>
            </w:r>
          </w:p>
        </w:tc>
        <w:tc>
          <w:tcPr>
            <w:tcW w:type="dxa" w:w="810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2027 年市占率目標由 10～15% 上調至 15～20%；SAM 維持 800 億美元；第二代 ASIC 2028 年初量產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資料中心</w:t>
            </w:r>
          </w:p>
        </w:tc>
        <w:tc>
          <w:tcPr>
            <w:tcW w:type="dxa" w:w="810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首款 AI 加速器 ASIC Q4 量產，帶動 2026 年資料中心營收逾 20 億美元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財務</w:t>
            </w:r>
          </w:p>
        </w:tc>
        <w:tc>
          <w:tcPr>
            <w:tcW w:type="dxa" w:w="810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董事會核准 50 億美元彈性融資額度；帳上淨現金逾 70 億美元。存貨週轉天數 102 日（前季 87 日）</w:t>
            </w:r>
          </w:p>
        </w:tc>
      </w:tr>
    </w:tbl>
    <w:p>
      <w:pPr>
        <w:spacing w:before="60" w:after="4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※ 無券商評等與目標價，本場次不建個股摘要。7/31 漲停收 3,555 元。</w:t>
      </w:r>
    </w:p>
    <w:p>
      <w:pPr>
        <w:spacing w:before="240" w:after="80" w:line="276" w:lineRule="auto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AI 硬體與伺服器供應鏈（法人觀點，未揭露目標價）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814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個股</w:t>
            </w:r>
          </w:p>
        </w:tc>
        <w:tc>
          <w:tcPr>
            <w:tcW w:type="dxa" w:w="1701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機構</w:t>
            </w:r>
          </w:p>
        </w:tc>
        <w:tc>
          <w:tcPr>
            <w:tcW w:type="dxa" w:w="6293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川湖（2059）</w:t>
            </w:r>
          </w:p>
        </w:tc>
        <w:tc>
          <w:tcPr>
            <w:tcW w:type="dxa" w:w="170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法人（未具名）</w:t>
            </w:r>
          </w:p>
        </w:tc>
        <w:tc>
          <w:tcPr>
            <w:tcW w:type="dxa" w:w="6293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看好今年 EPS 有望挑戰 200 元；7/31 漲停 7,850 元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京元電子（2449）</w:t>
            </w:r>
          </w:p>
        </w:tc>
        <w:tc>
          <w:tcPr>
            <w:tcW w:type="dxa" w:w="170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法人（未具名）</w:t>
            </w:r>
          </w:p>
        </w:tc>
        <w:tc>
          <w:tcPr>
            <w:tcW w:type="dxa" w:w="6293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 資本支出上調至 500 億元；估 Q3 與全年營收雙位數成長挑戰新高，先進測試新產能 2027H1 啟動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奇鋐（3017）</w:t>
            </w:r>
          </w:p>
        </w:tc>
        <w:tc>
          <w:tcPr>
            <w:tcW w:type="dxa" w:w="170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本土法人</w:t>
            </w:r>
          </w:p>
        </w:tc>
        <w:tc>
          <w:tcPr>
            <w:tcW w:type="dxa" w:w="6293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業績展望正向，下半年水冷板產能將增至每月 100 萬組；本土法人偏多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緯穎（6669）</w:t>
            </w:r>
          </w:p>
        </w:tc>
        <w:tc>
          <w:tcPr>
            <w:tcW w:type="dxa" w:w="170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法人（未具名）</w:t>
            </w:r>
          </w:p>
        </w:tc>
        <w:tc>
          <w:tcPr>
            <w:tcW w:type="dxa" w:w="6293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看好下半年受惠 Trainium AI 伺服器出貨放量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新盛力（4931）</w:t>
            </w:r>
          </w:p>
        </w:tc>
        <w:tc>
          <w:tcPr>
            <w:tcW w:type="dxa" w:w="170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法人（未具名）</w:t>
            </w:r>
          </w:p>
        </w:tc>
        <w:tc>
          <w:tcPr>
            <w:tcW w:type="dxa" w:w="6293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估今年 BBU 占比上看 60～70%，仍為主要成長動能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光寶科（2301）</w:t>
            </w:r>
          </w:p>
        </w:tc>
        <w:tc>
          <w:tcPr>
            <w:tcW w:type="dxa" w:w="170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公司法說</w:t>
            </w:r>
          </w:p>
        </w:tc>
        <w:tc>
          <w:tcPr>
            <w:tcW w:type="dxa" w:w="6293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Q2 稅後純益 71.2 億元、EPS 3.14 元年增 1.26 倍創高；上半年 EPS 4.8 元。無新目標價</w:t>
            </w:r>
          </w:p>
        </w:tc>
      </w:tr>
    </w:tbl>
    <w:p>
      <w:pPr>
        <w:spacing w:before="60" w:after="4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※ 以上均無具體評等或目標價，依規則不另建個股摘要。</w:t>
      </w:r>
    </w:p>
    <w:p>
      <w:pPr>
        <w:spacing w:before="240" w:after="80" w:line="276" w:lineRule="auto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產業研調（非券商）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041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機構</w:t>
            </w:r>
          </w:p>
        </w:tc>
        <w:tc>
          <w:tcPr>
            <w:tcW w:type="dxa" w:w="1587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產業</w:t>
            </w:r>
          </w:p>
        </w:tc>
        <w:tc>
          <w:tcPr>
            <w:tcW w:type="dxa" w:w="6180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集邦科技 TrendForce</w:t>
            </w:r>
          </w:p>
        </w:tc>
        <w:tc>
          <w:tcPr>
            <w:tcW w:type="dxa" w:w="158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記憶體</w:t>
            </w:r>
          </w:p>
        </w:tc>
        <w:tc>
          <w:tcPr>
            <w:tcW w:type="dxa" w:w="618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2027 年 DRAM 因 HBM 排擠產能＋AI server 需求強勁，續維持供給緊張、價格偏強；NAND Flash 2027H2 供給轉寬鬆，價格恐面臨修正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集邦科技 TrendForce</w:t>
            </w:r>
          </w:p>
        </w:tc>
        <w:tc>
          <w:tcPr>
            <w:tcW w:type="dxa" w:w="158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被動元件 MLCC</w:t>
            </w:r>
          </w:p>
        </w:tc>
        <w:tc>
          <w:tcPr>
            <w:tcW w:type="dxa" w:w="618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6 月村田、三星電機、太陽誘電出貨同步創近 5 年單月新高，消費級訂單外溢嘉惠台廠；高階高容交期已拉長至 4～5 個月</w:t>
            </w:r>
          </w:p>
        </w:tc>
      </w:tr>
    </w:tbl>
    <w:p>
      <w:pPr>
        <w:spacing w:before="240" w:after="80" w:line="276" w:lineRule="auto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策略 － 大盤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041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機構</w:t>
            </w:r>
          </w:p>
        </w:tc>
        <w:tc>
          <w:tcPr>
            <w:tcW w:type="dxa" w:w="1361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觀點</w:t>
            </w:r>
          </w:p>
        </w:tc>
        <w:tc>
          <w:tcPr>
            <w:tcW w:type="dxa" w:w="6406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統一投顧</w:t>
            </w:r>
          </w:p>
        </w:tc>
        <w:tc>
          <w:tcPr>
            <w:tcW w:type="dxa" w:w="136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偏多（審慎）</w:t>
            </w:r>
          </w:p>
        </w:tc>
        <w:tc>
          <w:tcPr>
            <w:tcW w:type="dxa" w:w="6406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CSP 大廠財報結束、密集法說將底定基本面下修疑慮；本週融資減肥 832 億元（週減逾 14.2%）籌碼清洗＋費半共振有利止跌反彈。惟均線反壓與期貨空單逾 8 萬口，須避免過度槓桿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國泰證期研究部</w:t>
            </w:r>
          </w:p>
        </w:tc>
        <w:tc>
          <w:tcPr>
            <w:tcW w:type="dxa" w:w="136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中性</w:t>
            </w:r>
          </w:p>
        </w:tc>
        <w:tc>
          <w:tcPr>
            <w:tcW w:type="dxa" w:w="6406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指數若未站穩 5 日線仍視為技術性反彈；外資台指期淨空單仍逾 8 萬口、Fed 態度謹慎，建議逢低分批的防禦策略。選股優先成熟製程晶圓代工、先進封測與矽光子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兆豐國際投顧（黃國偉）</w:t>
            </w:r>
          </w:p>
        </w:tc>
        <w:tc>
          <w:tcPr>
            <w:tcW w:type="dxa" w:w="136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偏多</w:t>
            </w:r>
          </w:p>
        </w:tc>
        <w:tc>
          <w:tcPr>
            <w:tcW w:type="dxa" w:w="6406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台股短期底部已浮現，中長期多頭趨勢維持不變，指數初步有機會挑戰季線 44,089 點</w:t>
            </w:r>
          </w:p>
        </w:tc>
      </w:tr>
    </w:tbl>
    <w:p>
      <w:pPr>
        <w:spacing w:before="240" w:after="80" w:line="276" w:lineRule="auto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7/31 盤面速覽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加權指數收 43,119.75 點，大漲 3,186.45 點，創史上最大單日漲點；盤中最大漲點 2,962.22 點亦改寫紀錄。成交值 8,337.13 億元。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外資買超 675.54 億元，三大法人同步站在買方；投信連 27 日買超。上市漲停家數多達 113 檔。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台積電漲停 2,425 元（+220 元，史上最大漲點），市值回升至 62.88 兆元，單檔貢獻大盤約 1,746 點。電子類指數 +9.19%、金融 +4.45%、塑膠／電纜／玻璃逾 +6%。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漲停群：聯發科、日月光投控、信驊、川湖、鴻勁、旺矽、台光電、台燿、創意、智邦、群聯、國巨*、南亞科、華邦電、旺宏、力成、京元電子、欣興等；38 檔千金股近七成開盤即漲停、11 檔一字鎖。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外部驅動：費半 +8.19%、美光 +18.36%、SK 海力士盤中漲近 30%、三星電子 +26%，韓股觸發熔斷。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本週仍累計下跌 535.09 點，7 月累計下跌 3,006.16 點——單日紀錄未改變月線收黑的事實。</w:t>
      </w:r>
    </w:p>
    <w:p>
      <w:pPr>
        <w:spacing w:before="240" w:after="80" w:line="276" w:lineRule="auto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來源連結</w:t>
      </w:r>
    </w:p>
    <w:p>
      <w:pPr>
        <w:spacing w:before="0" w:after="40" w:line="276" w:lineRule="auto"/>
        <w:ind w:left="170"/>
      </w:pPr>
      <w:r>
        <w:rPr>
          <w:rFonts w:ascii="Microsoft JhengHei" w:hAnsi="Microsoft JhengHei" w:eastAsia="Microsoft JhengHei" w:cs="Microsoft JhengHei"/>
          <w:b/>
          <w:sz w:val="17"/>
        </w:rPr>
        <w:t>日月光｜</w:t>
      </w:r>
      <w:r>
        <w:rPr>
          <w:rFonts w:ascii="Microsoft JhengHei" w:hAnsi="Microsoft JhengHei" w:eastAsia="Microsoft JhengHei" w:cs="Microsoft JhengHei"/>
          <w:b w:val="0"/>
          <w:sz w:val="17"/>
        </w:rPr>
        <w:t xml:space="preserve">時報資訊《半導體》CPO與先進封裝助攻 日月光目標價最高喊800元（2026/07/31 10:59）　</w:t>
      </w:r>
      <w:r>
        <w:rPr>
          <w:rFonts w:ascii="Microsoft JhengHei" w:hAnsi="Microsoft JhengHei" w:eastAsia="Microsoft JhengHei" w:cs="Microsoft JhengHei"/>
          <w:b w:val="0"/>
          <w:color w:val="0B4F9E"/>
          <w:sz w:val="17"/>
        </w:rPr>
        <w:t>https://www.chinatimes.com/realtimenews/20260731001877-260410</w:t>
      </w:r>
    </w:p>
    <w:p>
      <w:pPr>
        <w:spacing w:before="0" w:after="40" w:line="276" w:lineRule="auto"/>
        <w:ind w:left="170"/>
      </w:pPr>
      <w:r>
        <w:rPr>
          <w:rFonts w:ascii="Microsoft JhengHei" w:hAnsi="Microsoft JhengHei" w:eastAsia="Microsoft JhengHei" w:cs="Microsoft JhengHei"/>
          <w:b/>
          <w:sz w:val="17"/>
        </w:rPr>
        <w:t>力成／日月光／焦點股｜</w:t>
      </w:r>
      <w:r>
        <w:rPr>
          <w:rFonts w:ascii="Microsoft JhengHei" w:hAnsi="Microsoft JhengHei" w:eastAsia="Microsoft JhengHei" w:cs="Microsoft JhengHei"/>
          <w:b w:val="0"/>
          <w:sz w:val="17"/>
        </w:rPr>
        <w:t xml:space="preserve">工商時報 7／31盤中熱門焦點股（2026/07/31 12:03）　</w:t>
      </w:r>
      <w:r>
        <w:rPr>
          <w:rFonts w:ascii="Microsoft JhengHei" w:hAnsi="Microsoft JhengHei" w:eastAsia="Microsoft JhengHei" w:cs="Microsoft JhengHei"/>
          <w:b w:val="0"/>
          <w:color w:val="0B4F9E"/>
          <w:sz w:val="17"/>
        </w:rPr>
        <w:t>https://www.ctee.com.tw/news/20260731700993-430201</w:t>
      </w:r>
    </w:p>
    <w:p>
      <w:pPr>
        <w:spacing w:before="0" w:after="40" w:line="276" w:lineRule="auto"/>
        <w:ind w:left="170"/>
      </w:pPr>
      <w:r>
        <w:rPr>
          <w:rFonts w:ascii="Microsoft JhengHei" w:hAnsi="Microsoft JhengHei" w:eastAsia="Microsoft JhengHei" w:cs="Microsoft JhengHei"/>
          <w:b/>
          <w:sz w:val="17"/>
        </w:rPr>
        <w:t>力成｜</w:t>
      </w:r>
      <w:r>
        <w:rPr>
          <w:rFonts w:ascii="Microsoft JhengHei" w:hAnsi="Microsoft JhengHei" w:eastAsia="Microsoft JhengHei" w:cs="Microsoft JhengHei"/>
          <w:b w:val="0"/>
          <w:sz w:val="17"/>
        </w:rPr>
        <w:t xml:space="preserve">時報資訊《半導體》力成先進封裝衝高獲利 外資最高喊上360、本土更上看4字頭　</w:t>
      </w:r>
      <w:r>
        <w:rPr>
          <w:rFonts w:ascii="Microsoft JhengHei" w:hAnsi="Microsoft JhengHei" w:eastAsia="Microsoft JhengHei" w:cs="Microsoft JhengHei"/>
          <w:b w:val="0"/>
          <w:color w:val="0B4F9E"/>
          <w:sz w:val="17"/>
        </w:rPr>
        <w:t>https://www.chinatimes.com/realtimenews/20260729002258-260410</w:t>
      </w:r>
    </w:p>
    <w:p>
      <w:pPr>
        <w:spacing w:before="0" w:after="40" w:line="276" w:lineRule="auto"/>
        <w:ind w:left="170"/>
      </w:pPr>
      <w:r>
        <w:rPr>
          <w:rFonts w:ascii="Microsoft JhengHei" w:hAnsi="Microsoft JhengHei" w:eastAsia="Microsoft JhengHei" w:cs="Microsoft JhengHei"/>
          <w:b/>
          <w:sz w:val="17"/>
        </w:rPr>
        <w:t>信驊｜</w:t>
      </w:r>
      <w:r>
        <w:rPr>
          <w:rFonts w:ascii="Microsoft JhengHei" w:hAnsi="Microsoft JhengHei" w:eastAsia="Microsoft JhengHei" w:cs="Microsoft JhengHei"/>
          <w:b w:val="0"/>
          <w:sz w:val="17"/>
        </w:rPr>
        <w:t xml:space="preserve">經濟日報 信驊目標價 喊22,000（2026/07/30，記者張瀞文）　</w:t>
      </w:r>
      <w:r>
        <w:rPr>
          <w:rFonts w:ascii="Microsoft JhengHei" w:hAnsi="Microsoft JhengHei" w:eastAsia="Microsoft JhengHei" w:cs="Microsoft JhengHei"/>
          <w:b w:val="0"/>
          <w:color w:val="0B4F9E"/>
          <w:sz w:val="17"/>
        </w:rPr>
        <w:t>https://udn.com/news/story/7252/9659010</w:t>
      </w:r>
    </w:p>
    <w:p>
      <w:pPr>
        <w:spacing w:before="0" w:after="40" w:line="276" w:lineRule="auto"/>
        <w:ind w:left="170"/>
      </w:pPr>
      <w:r>
        <w:rPr>
          <w:rFonts w:ascii="Microsoft JhengHei" w:hAnsi="Microsoft JhengHei" w:eastAsia="Microsoft JhengHei" w:cs="Microsoft JhengHei"/>
          <w:b/>
          <w:sz w:val="17"/>
        </w:rPr>
        <w:t>聯發科 ASIC｜</w:t>
      </w:r>
      <w:r>
        <w:rPr>
          <w:rFonts w:ascii="Microsoft JhengHei" w:hAnsi="Microsoft JhengHei" w:eastAsia="Microsoft JhengHei" w:cs="Microsoft JhengHei"/>
          <w:b w:val="0"/>
          <w:sz w:val="17"/>
        </w:rPr>
        <w:t xml:space="preserve">鉅亨網〈聯發科法說〉上調ASIC市占率至15%-20% 第二代ASIC 2028年量產（2026/07/31 16:50）　</w:t>
      </w:r>
      <w:r>
        <w:rPr>
          <w:rFonts w:ascii="Microsoft JhengHei" w:hAnsi="Microsoft JhengHei" w:eastAsia="Microsoft JhengHei" w:cs="Microsoft JhengHei"/>
          <w:b w:val="0"/>
          <w:color w:val="0B4F9E"/>
          <w:sz w:val="17"/>
        </w:rPr>
        <w:t>https://news.cnyes.com/news/id/6554849</w:t>
      </w:r>
    </w:p>
    <w:p>
      <w:pPr>
        <w:spacing w:before="0" w:after="40" w:line="276" w:lineRule="auto"/>
        <w:ind w:left="170"/>
      </w:pPr>
      <w:r>
        <w:rPr>
          <w:rFonts w:ascii="Microsoft JhengHei" w:hAnsi="Microsoft JhengHei" w:eastAsia="Microsoft JhengHei" w:cs="Microsoft JhengHei"/>
          <w:b/>
          <w:sz w:val="17"/>
        </w:rPr>
        <w:t>聯發科 Q2｜</w:t>
      </w:r>
      <w:r>
        <w:rPr>
          <w:rFonts w:ascii="Microsoft JhengHei" w:hAnsi="Microsoft JhengHei" w:eastAsia="Microsoft JhengHei" w:cs="Microsoft JhengHei"/>
          <w:b w:val="0"/>
          <w:sz w:val="17"/>
        </w:rPr>
        <w:t xml:space="preserve">鉅亨網〈聯發科法說〉Q2獲利微幅增長 EPS 15.28元 上半年賺3個股本（2026/07/31 15:12）　</w:t>
      </w:r>
      <w:r>
        <w:rPr>
          <w:rFonts w:ascii="Microsoft JhengHei" w:hAnsi="Microsoft JhengHei" w:eastAsia="Microsoft JhengHei" w:cs="Microsoft JhengHei"/>
          <w:b w:val="0"/>
          <w:color w:val="0B4F9E"/>
          <w:sz w:val="17"/>
        </w:rPr>
        <w:t>https://news.cnyes.com/news/id/6554642</w:t>
      </w:r>
    </w:p>
    <w:p>
      <w:pPr>
        <w:spacing w:before="0" w:after="40" w:line="276" w:lineRule="auto"/>
        <w:ind w:left="170"/>
      </w:pPr>
      <w:r>
        <w:rPr>
          <w:rFonts w:ascii="Microsoft JhengHei" w:hAnsi="Microsoft JhengHei" w:eastAsia="Microsoft JhengHei" w:cs="Microsoft JhengHei"/>
          <w:b/>
          <w:sz w:val="17"/>
        </w:rPr>
        <w:t>大盤策略｜</w:t>
      </w:r>
      <w:r>
        <w:rPr>
          <w:rFonts w:ascii="Microsoft JhengHei" w:hAnsi="Microsoft JhengHei" w:eastAsia="Microsoft JhengHei" w:cs="Microsoft JhengHei"/>
          <w:b w:val="0"/>
          <w:sz w:val="17"/>
        </w:rPr>
        <w:t xml:space="preserve">鉅亨網 台股飆逾2800點吹響反攻號角 法人：短線大盤看這些支撐和反壓點位（2026/07/31 11:28）　</w:t>
      </w:r>
      <w:r>
        <w:rPr>
          <w:rFonts w:ascii="Microsoft JhengHei" w:hAnsi="Microsoft JhengHei" w:eastAsia="Microsoft JhengHei" w:cs="Microsoft JhengHei"/>
          <w:b w:val="0"/>
          <w:color w:val="0B4F9E"/>
          <w:sz w:val="17"/>
        </w:rPr>
        <w:t>https://news.cnyes.com/news/id/6554313</w:t>
      </w:r>
    </w:p>
    <w:p>
      <w:pPr>
        <w:spacing w:before="0" w:after="40" w:line="276" w:lineRule="auto"/>
        <w:ind w:left="170"/>
      </w:pPr>
      <w:r>
        <w:rPr>
          <w:rFonts w:ascii="Microsoft JhengHei" w:hAnsi="Microsoft JhengHei" w:eastAsia="Microsoft JhengHei" w:cs="Microsoft JhengHei"/>
          <w:b/>
          <w:sz w:val="17"/>
        </w:rPr>
        <w:t>盤後行情｜</w:t>
      </w:r>
      <w:r>
        <w:rPr>
          <w:rFonts w:ascii="Microsoft JhengHei" w:hAnsi="Microsoft JhengHei" w:eastAsia="Microsoft JhengHei" w:cs="Microsoft JhengHei"/>
          <w:b w:val="0"/>
          <w:sz w:val="17"/>
        </w:rPr>
        <w:t xml:space="preserve">中央社 台股飆3186.45點創史上最大漲點 7月下跌3006點（2026/07/31 14:31）　</w:t>
      </w:r>
      <w:r>
        <w:rPr>
          <w:rFonts w:ascii="Microsoft JhengHei" w:hAnsi="Microsoft JhengHei" w:eastAsia="Microsoft JhengHei" w:cs="Microsoft JhengHei"/>
          <w:b w:val="0"/>
          <w:color w:val="0B4F9E"/>
          <w:sz w:val="17"/>
        </w:rPr>
        <w:t>https://www.cna.com.tw/news/afe/202607310157.aspx</w:t>
      </w:r>
    </w:p>
    <w:p>
      <w:pPr>
        <w:spacing w:before="200" w:after="8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本總覽依公開新聞整理，非完整券商報告；數字如與原報告有出入，以券商正式報告為準。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