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0"/>
          <w:szCs w:val="30"/>
        </w:rPr>
        <w:t xml:space="preserve">券商報告日報總覽　2026/08/02（早盤場次）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收錄區間：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2026/08/01 08:20 ～ 2026/08/02 08:10（台北時間）　｜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本場次新增 2 筆觀點（個股評等 0 筆／大盤策略 1 筆／產業研調 1 筆），涉及 0 檔個股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000000"/>
          <w:sz w:val="20"/>
          <w:szCs w:val="20"/>
        </w:rPr>
        <w:t xml:space="preserve">週末休市場次：7/31（五）盤後至 8/2（日）早盤期間，未見券商對個別台股出具新的評等或目標價，故本場次不新增個股摘要檔。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一、本場次重點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無新增個股評等／目標價。近 24 小時掃描鉅亨網、經濟日報、聯合報、工商時報、旺得富等主要來源，未見券商對個股出具新報告；週六、週日台股休市，券商報告產出停滯屬正常現象。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大盤：凱基投顧朱晏民、群益投顧蔡明彥、第一金投顧黃詣庭、台新投顧黃文清四家一致認為 8 月台股進入震盪築底，指數區間 40,000～45,000 點；台股 7/29、7/30 在半年線前止跌並留下影線顯示下檔支撐強勁，但月線、季線以上套牢壓力不輕。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關鍵論據：台積電法說上修營收與資本支出展望後，市場預估台股 2026 年企業獲利成長率已由 40% 上修至 48%，2027 年仍有 23%，四大名師據此認定本波修正屬「健康的重新定價」而非空頭市場開端。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產業：輝達資深副總裁 Gilad Shainer 宣告 CPO（共同封裝光學）已進入量產並開始交貨，點名未來最大商機在 Scale-up（所需頻寬為 Scale-out 十倍以上）；TrendForce 估 CPO／NPO 市場 2030 年突破 390 億美元。此為 8/1 已收錄之光通訊三檔（全新 2455／環宇-KY 4991／晶技 3042，本土大型投顧買進）論點的重要外部佐證，惟該消息本身未附任何券商評等。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watchlist 自選股 6187 萬潤：本場次無新券商評等或目標價。最近一次收錄為 7/27 瑞銀首評買進 1,550 元、美系外資 1,500～1,550 元。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二、個股觀點（按產業分組）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本場次無任何券商對個股出具新評等或目標價，故無個股分組表格，亦不新增個股摘要檔。最近一批個股觀點請參閱 260801_報告總覽_盤後.docx（日月光投控 3711、鴻勁 7769、全新 2455、環宇-KY 4991、晶技 3042、中鋼 2002、東和鋼鐵 2006、豐興 2015 等）。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三、大盤策略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900"/>
        <w:gridCol w:w="6046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機構（發言人）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內／外資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立場</w:t>
            </w:r>
          </w:p>
        </w:tc>
        <w:tc>
          <w:tcPr>
            <w:tcW w:type="dxa" w:w="60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重點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凱基投顧（董事長朱晏民）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群益投顧（董事長蔡明彥）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第一金投顧（董事長黃詣庭）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台新投顧（總經理黃文清）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※ 四家彙整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內資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震盪築底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（區間偏多）</w:t>
            </w:r>
          </w:p>
        </w:tc>
        <w:tc>
          <w:tcPr>
            <w:tcW w:type="dxa" w:w="60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月台股可望進入震盪築底階段，大盤預期於 40,000～45,000 點反覆整理。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7/29、7/30 在半年線前止跌回穩並留下影線，下檔支撐強勁；但月線、季線以上套牢壓力不輕。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朱晏民、蔡明彥：台積電法說上修營收與資本支出展望後，市場預估台股 2026 年企業獲利成長率由 40% 上修至 48%、2027 年仍有 23%，基本面與 AI 產業趨勢向上，本波修正為健康的重新定價而非空頭市場開端。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五大觀察關鍵：中東局勢動向、上市櫃 7 月營收及財報、MSCI 季度調整、全球央行年會、輝達財報。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風險提示：國際油價延續反彈，市場預期 Fed 9 月升息機率逾 60%，30 年期美債殖利率飆至 19 年新高。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正面訊號：微軟財報緩解 AI 支出疑慮；韓股槓桿商品保證金新制上路後 SK 海力士、三星分別飆 29.9%、26.8%，去槓桿有成；傳聞引爆費半重挫的對沖基金 Situational Awareness 爆倉亦為明顯訊號。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（補收錄：原文 8/1 00:44 發布，8/1 早盤場次未收錄）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四、產業與研調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564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主題</w:t>
            </w:r>
          </w:p>
        </w:tc>
        <w:tc>
          <w:tcPr>
            <w:tcW w:type="dxa" w:w="56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重點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輝達 NVIDIA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（資深副總裁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Gilad Shainer）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＋ 集邦科技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TrendForce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產業消息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／研調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（非券商）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光通訊－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CPO／矽光子</w:t>
            </w:r>
          </w:p>
        </w:tc>
        <w:tc>
          <w:tcPr>
            <w:tcW w:type="dxa" w:w="5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Gilad Shainer 於技術論壇宣告 CPO 開始量產，輝達與供應鏈合作開發的交換器已交貨給緊密合作客戶，並在輝達自家部署；預期今年可望看到大量具 CPO 技術的交換器導入全球 AI 工廠。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輝達在量產前已提前布建光引擎（OE）、封裝、光纖陣列、客製化雷射光源等生態系投資，並將共同參與技術標準制定。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未來光通訊最大商機在 Scale-up，所需頻寬效能為 Scale-out 的十倍以上。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輝達已在 Spectrum-X 先行導入 CPO，目標搭配即將大規模部署的 Vera Rubin 平台（運算速度較 GB300 提升至少三倍）。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Gilad Shainer 亦與台積電共同開發 COUPE 矽光子封裝平台。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TrendForce 估 CPO／NPO 市場規模 2030 年突破 390 億美元，2028～2029 年成長動能將隨 Scale-up 導入光互連而急遽增長。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意涵：打破市場先前對光通訊規格升級的疑慮（對照 6 月 SemiAnalysis 稱 CPO 遞延兩年至 2028 年之說），為 8/1 收錄之光通訊三檔買進評等提供佐證。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五、本週觀察行事曆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上市櫃半年報公布倒數至 8/14，台股迎法說會高峰，據統計近期將有 81 家接力召開（來源：經濟日報 8/2）。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本週登場：AI 伺服器供應鏈緯創（3231）、工業電腦龍頭研華（2395）、伺服器滑軌大廠川湖（2059）法說；記憶體廠華邦電（2344）、矽晶圓廠環球晶（6488）及母公司中美晶（5483）、通路商文曄（3036）法說。信驊（5274）法說訂 8/5。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金融股除權息：台企銀、台中銀 8/4 除權息，彰銀 8/5 除權息。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55555"/>
          <w:sz w:val="17"/>
          <w:szCs w:val="17"/>
        </w:rPr>
        <w:t xml:space="preserve">※ 行事曆資訊取自經濟日報 8/2 相關報導標題與摘要，個別公司法說確切日期請以公開資訊觀測站為準（待確認）。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六、來源連結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四大名師看8月台股 築底震盪、上看45K（經濟日報／2026-08-01 00:44）  </w:t>
      </w:r>
      <w:hyperlink w:history="1" r:id="rIdiqcfgfgzwlkpuorx3yjmu">
        <w:r>
          <w:rPr>
            <w:rFonts w:ascii="Microsoft JhengHei" w:cs="Microsoft JhengHei" w:eastAsia="Microsoft JhengHei" w:hAnsi="Microsoft JhengHei"/>
            <w:color w:val="1155CC"/>
            <w:sz w:val="17"/>
            <w:szCs w:val="17"/>
            <w:u w:val="single"/>
          </w:rPr>
          <w:t xml:space="preserve">https://udn.com/news/story/7251/9663925</w:t>
        </w:r>
      </w:hyperlink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輝達宣告共同封裝光學進入量產 光通訊打強心針（經濟日報／2026-08-02 02:04）  </w:t>
      </w:r>
      <w:hyperlink w:history="1" r:id="rIdu6q3odttiffd3hq7-ti8t">
        <w:r>
          <w:rPr>
            <w:rFonts w:ascii="Microsoft JhengHei" w:cs="Microsoft JhengHei" w:eastAsia="Microsoft JhengHei" w:hAnsi="Microsoft JhengHei"/>
            <w:color w:val="1155CC"/>
            <w:sz w:val="17"/>
            <w:szCs w:val="17"/>
            <w:u w:val="single"/>
          </w:rPr>
          <w:t xml:space="preserve">https://udn.com/news/story/7252/9665202</w:t>
        </w:r>
      </w:hyperlink>
    </w:p>
    <w:p>
      <w:pPr>
        <w:pBdr>
          <w:top w:val="single" w:color="BFBFBF" w:sz="4" w:space="6"/>
        </w:pBdr>
        <w:spacing w:before="2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55555"/>
          <w:sz w:val="17"/>
          <w:szCs w:val="17"/>
        </w:rPr>
        <w:t xml:space="preserve">本總覽依公開新聞整理，非完整券商報告；外資券商名稱多以「美系／歐系／日系」代稱，具名對應如有推定均已標註。數字如有不確定處標示「待確認」。本場次無個股評等，未新增個股摘要檔。</w:t>
      </w:r>
    </w:p>
    <w:sectPr>
      <w:headerReference w:type="default" r:id="rId9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qcfgfgzwlkpuorx3yjmu" Type="http://schemas.openxmlformats.org/officeDocument/2006/relationships/hyperlink" Target="https://udn.com/news/story/7251/9663925" TargetMode="External"/><Relationship Id="rIdu6q3odttiffd3hq7-ti8t" Type="http://schemas.openxmlformats.org/officeDocument/2006/relationships/hyperlink" Target="https://udn.com/news/story/7252/9665202" TargetMode="External"/><Relationship Id="rId9" Type="http://schemas.openxmlformats.org/officeDocument/2006/relationships/fontTable" Target="fontTable.xml"/><Relationship Id="rId9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2026-08-02T00:18:02.730Z</dcterms:created>
  <dcterms:modified xsi:type="dcterms:W3CDTF">2026-08-02T00:18:02.730Z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