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32"/>
          <w:szCs w:val="32"/>
        </w:rPr>
        <w:t xml:space="preserve">台股券商報告日報總覽</w:t>
      </w:r>
    </w:p>
    <w:p>
      <w:pPr>
        <w:spacing w:after="4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2026 / 08 / 04（二）盤後場次</w:t>
      </w:r>
    </w:p>
    <w:p>
      <w:pPr>
        <w:pBdr>
          <w:bottom w:val="single" w:color="9DB4CE" w:sz="6" w:space="4"/>
        </w:pBdr>
        <w:spacing w:after="2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7"/>
          <w:szCs w:val="17"/>
        </w:rPr>
        <w:t xml:space="preserve">資料涵蓋：2026/08/03 盤後 ～ 2026/08/04 收盤　｜　本場次新增 10 則券商／法人觀點</w:t>
      </w:r>
    </w:p>
    <w:p>
      <w:pPr>
        <w:pBdr>
          <w:bottom w:val="single" w:color="9DB4CE" w:sz="6" w:space="2"/>
        </w:pBdr>
        <w:spacing w:after="100" w:before="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大盤概況</w:t>
      </w:r>
    </w:p>
    <w:p>
      <w:pPr>
        <w:spacing w:after="60" w:before="6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加權指數收 43,360.66 點，下跌 25.75 點（-0.06%），成交值放大至 1.0362 兆元。盤中震幅逾千點（低 42,895.81／高 43,912.77），尾盤急拉百餘點收小跌。</w:t>
      </w:r>
    </w:p>
    <w:p>
      <w:pPr>
        <w:spacing w:after="60" w:before="6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台積電（2330）收 2,320 元、跌 2.11%；聯發科（2454）開高走低收 3,865 元、跌 1.15%；台達電（2308）漲 2.53% 收 1,620 元。記憶體、CPO、低軌衛星、被動元件為當日主流；上市櫃合計 79 檔漲停。</w:t>
      </w:r>
    </w:p>
    <w:p>
      <w:pPr>
        <w:spacing w:after="60" w:before="60" w:line="280"/>
        <w:jc w:val="left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外資 8/3 期現貨同步偏空，現貨賣超 191.91 億元，台指期淨空單增 7,523 口至 90,038 口，首度突破 9 萬口創歷史新高；投信連 29 買、單日 233.24 億元為史上第七大。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一、PCB／IC 載板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高盛
（外資）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景碩
(3189)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
(重申)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1,125 元
（前值 1,120）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不排除 2027～2028 年 ABF 載板供不應求；估 Q3、Q4 ABF 與 BT 載板均價各季增約 8%，ABF 漲幅快於 BT；上調 2027～2029 年獲利各 5%／10%／10%。8/4 連 3 根漲停收 767 元。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二、電源供應器／AI 電力架構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本土法人
（內資，未具名）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光寶科
(2301)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370 元
（前值 300）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50V／500kW Power Rack 毛利率逾 35%；估今、明年 EPS 11.7 元、18.9 元，年增 76%、62%；今年 AI 營收 970 億元年增 196%。8 家本土法人目標價區間 158～370 元。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三、IC 設計／AI ASIC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本土法人
（內資，未具名）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聯發科
(2454)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強力買進
(上修)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5,625 元
（前值未揭露）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2028 年下一代晶片貢獻後，AI ASIC 營收由 8,000～9,000 億元上調至 1.1 兆元；2027～2028 年 AI 營收比重將正式超越手機業務；因大盤回檔提供更佳潛在漲幅而上修評等。</w:t>
            </w:r>
          </w:p>
        </w:tc>
      </w:tr>
      <w:tr>
        <w:tc>
          <w:tcPr>
            <w:tcW w:type="dxa" w:w="11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花旗（陳佳儀）
（外資）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聯發科
(2454)</w:t>
            </w:r>
          </w:p>
        </w:tc>
        <w:tc>
          <w:tcPr>
            <w:tcW w:type="dxa" w:w="1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本則未列
個別目標價</w:t>
            </w:r>
          </w:p>
        </w:tc>
        <w:tc>
          <w:tcPr>
            <w:tcW w:type="dxa" w:w="42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「台灣半導體產業」報告：聯發科已將 AI ASIC 營收目標上調至 120～160 億美元；2027 年 AI 需求能見度顯著提升。（同篇另含 8/3 高盛 7,000 元、花旗 6,800 元，已於前場次收錄）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四、半導體設備／測試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法人
（內資，未具名）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鴻勁
(7769)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買進
(維持)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7,000 元
（前值未揭露）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與美系大客戶合作開發之 Insertion 4 OE 設備已完成，機台需求量增加、單價增幅達 20～25%，Q4 開始出貨，量產後每月可交付 20～30 台；下半年產能增 45%，2027 年再擴 50% 以上。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五、AI 伺服器機構件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法人
（內資，未具名）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川湖
(2059)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無評等
(獲利上修)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本則未列
目標價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VR 滑軌 ASP 較 GB300 再提升逾一成；2026 年營收預估上修至 390 億元、年增 124%；2026／2027 年 EPS 上修至 239.03／341.66 元；毛利率維持 75～80%，機櫃滑軌市占均逾 80%。8/4 漲停 9,495 元創新高。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六、半導體產業（產業報告，未列個別目標價）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花旗（陳佳儀）
（外資）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台積電 2330
聯電 2303
日月光投控 3711
台達電 2308
聯發科 2454
創意 3443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六檔
全數買進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本則未列
個別目標價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供應鏈紛紛上調展望並加大資本支出，AI 基建投資「仍處多年擴張周期早期」；台積電 CoWoS 產能持續售罄；聯電矽光子與先進封裝未來幾年總投資 50 億美元；台達電 2026 年 AI 營收占比達 25%；創意 CPU 業務明年翻倍。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七、被動元件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多家外資
（未具名）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國巨*
(2327)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正向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普遍千元以上
（數字待確認）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股價自高點腰斬後多家外資仍維持正向看法，理由為 AI／高階產品需求增溫與被動元件景氣回升。原文為付費內容，個別券商名稱與新舊目標價無法取得，數字待確認。</w:t>
            </w:r>
          </w:p>
        </w:tc>
      </w:tr>
      <w:tr>
        <w:tc>
          <w:tcPr>
            <w:tcW w:type="dxa" w:w="11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永誠國際投顧
（陳威良，內資）</w:t>
            </w:r>
          </w:p>
        </w:tc>
        <w:tc>
          <w:tcPr>
            <w:tcW w:type="dxa" w:w="15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國巨* 2327
禾伸堂 3026</w:t>
            </w:r>
          </w:p>
        </w:tc>
        <w:tc>
          <w:tcPr>
            <w:tcW w:type="dxa" w:w="10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技術面
反彈目標</w:t>
            </w:r>
          </w:p>
        </w:tc>
        <w:tc>
          <w:tcPr>
            <w:tcW w:type="dxa" w:w="12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750 元
656～657 元</w:t>
            </w:r>
          </w:p>
        </w:tc>
        <w:tc>
          <w:tcPr>
            <w:tcW w:type="dxa" w:w="42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以 0.382 黃金切割率推算，國巨第一波反彈目標約 750 元（季線附近），距前高 1,220 元仍有差距；禾伸堂反彈幅度落在季線 656～657 元。非正式券商評等，屬技術面推算。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八、記憶體（重複確認，不重複計數）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0"/>
        <w:gridCol w:w="1500"/>
        <w:gridCol w:w="1050"/>
        <w:gridCol w:w="1250"/>
        <w:gridCol w:w="4250"/>
      </w:tblGrid>
      <w:tr>
        <w:trPr>
          <w:tblHeader/>
        </w:trPr>
        <w:tc>
          <w:tcPr>
            <w:tcW w:type="dxa" w:w="11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券商</w:t>
            </w:r>
          </w:p>
        </w:tc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0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評等</w:t>
            </w:r>
          </w:p>
        </w:tc>
        <w:tc>
          <w:tcPr>
            <w:tcW w:type="dxa" w:w="1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目標價(新/舊)</w:t>
            </w:r>
          </w:p>
        </w:tc>
        <w:tc>
          <w:tcPr>
            <w:tcW w:type="dxa" w:w="4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一句話重點</w:t>
            </w:r>
          </w:p>
        </w:tc>
      </w:tr>
      <w:tr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美系外資
（8/4 轉述）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南亞科 2408
華邦電 2344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優於大盤</w:t>
            </w:r>
          </w:p>
        </w:tc>
        <w:tc>
          <w:tcPr>
            <w:tcW w:type="dxa" w:w="1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580 元
360 元</w:t>
            </w:r>
          </w:p>
        </w:tc>
        <w:tc>
          <w:tcPr>
            <w:tcW w:type="dxa" w:w="4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8/4 10:57 報導之數字與 8/3 已收錄之大摩（南亞科 580 元）、小摩（華邦電 360 元）完全一致，研判為同一批報告轉述版本，本場次不重複計數。華邦電 8/3 獲外資買超 2.6 萬張，為買超前十大中唯一個股。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九、大盤策略</w:t>
      </w:r>
    </w:p>
    <w:tbl>
      <w:tblPr>
        <w:tblW w:type="dxa" w:w="10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700"/>
        <w:gridCol w:w="4100"/>
        <w:gridCol w:w="3250"/>
      </w:tblGrid>
      <w:tr>
        <w:trPr>
          <w:tblHeader/>
        </w:trPr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機構</w:t>
            </w:r>
          </w:p>
        </w:tc>
        <w:tc>
          <w:tcPr>
            <w:tcW w:type="dxa" w:w="17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指數區間／關鍵位</w:t>
            </w:r>
          </w:p>
        </w:tc>
        <w:tc>
          <w:tcPr>
            <w:tcW w:type="dxa" w:w="4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重點</w:t>
            </w:r>
          </w:p>
        </w:tc>
        <w:tc>
          <w:tcPr>
            <w:tcW w:type="dxa" w:w="32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風險提示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康和證券
投資總監 廖繼弘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壓力 45,000～46,000
震盪 42,000～45,000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台股處於「短線反彈、中期觀察」階段；轉為中期多頭需三要件：月均量回到 1.2 兆元、月線同步翻揚、周 KD 交叉向上且開口放大。12 日 RSI 回升至 48，接近轉強門檻。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45,000 點有大量套牢賣壓；若三要件未到位則以震盪擴底為主。</w:t>
            </w:r>
          </w:p>
        </w:tc>
      </w:tr>
      <w:tr>
        <w:tc>
          <w:tcPr>
            <w:tcW w:type="dxa" w:w="14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永豐投顧
總經理 黃柏棠</w:t>
            </w:r>
          </w:p>
        </w:tc>
        <w:tc>
          <w:tcPr>
            <w:tcW w:type="dxa" w:w="17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410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中長線回歸評價與基本面，台積電高階製程與 AI 訂單能見度佳、2027 年成長動能持續。</w:t>
            </w:r>
          </w:p>
        </w:tc>
        <w:tc>
          <w:tcPr>
            <w:tcW w:type="dxa" w:w="3250"/>
            <w:shd w:fill="F5F7F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若美國 10 年期公債殖利率升破 5%，市場評價壓力將再度升高，壓縮反彈空間。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凱基投顧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不破 41,610 點
（7/31 長紅低點）</w:t>
            </w:r>
          </w:p>
        </w:tc>
        <w:tc>
          <w:tcPr>
            <w:tcW w:type="dxa" w:w="4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月線維持下彎形成上檔沉重蓋頭反壓，預期大盤不易一次性越過月線，短線先轉震盪整理再伺機帶量上攻。</w:t>
            </w:r>
          </w:p>
        </w:tc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外資期貨淨空單逾 9 萬口，指數仍待整理；買盤追價力道不足、量能未放大。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十、產業／研調數據（非券商評等）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・TrendForce：全球前九大 CSP 2026 年資本支出總額估突破 8,867 億美元、年增約 90%；2027 年再年增 49% 至 1.3 兆美元以上。北美五大（Google、Amazon、Meta、Microsoft、Oracle）占比近九成。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・TrendForce：2026 全年 AI 伺服器出貨增幅上調逾兩個百分點至近 31%；Q3 全球伺服器出貨首度突破 500 萬台、季增 2.8%（增速放緩，受記憶體供應吃緊影響）。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・TrendForce：DRAM 第 3 季合約價估漲 20～25%、第 4 季再漲 15～20%；2026 年供需位元差距約 -1%～-2%，缺貨最嚴峻期可能落在 2027 上半年。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・CSP 自由現金流轉弱風險：資本支出大幅提高使亞馬遜、Google 自由現金流甚至轉為負值，市場對投資回收期與資金壓力疑慮升高。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・財報面：十銓（4967）Q2 EPS 26.47 元、年增 20,261.54%，上半年 EPS 53.44 元；鈺創（5351）Q2 EPS 4.81 元、上半年 6.69 元，Q2 營收年增 558%。</w:t>
      </w:r>
    </w:p>
    <w:p>
      <w:pPr>
        <w:spacing w:after="40" w:before="40" w:line="28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9"/>
          <w:szCs w:val="19"/>
        </w:rPr>
        <w:t xml:space="preserve">・凌華（6166）法說：下半年營收力拚年增 10% 以上，產能利用率七至八成以上；10 個機器人專案預計 2027 年底至 2028 年陸續量產。高階 PCB 供應吃緊為下半年新挑戰。</w:t>
      </w:r>
    </w:p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十一、自選股追蹤</w:t>
      </w:r>
    </w:p>
    <w:tbl>
      <w:tblPr>
        <w:tblW w:type="dxa" w:w="94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400"/>
        <w:gridCol w:w="1450"/>
        <w:gridCol w:w="5100"/>
      </w:tblGrid>
      <w:tr>
        <w:trPr>
          <w:tblHeader/>
        </w:trPr>
        <w:tc>
          <w:tcPr>
            <w:tcW w:type="dxa" w:w="15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個股</w:t>
            </w:r>
          </w:p>
        </w:tc>
        <w:tc>
          <w:tcPr>
            <w:tcW w:type="dxa" w:w="14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本場次新觀點</w:t>
            </w:r>
          </w:p>
        </w:tc>
        <w:tc>
          <w:tcPr>
            <w:tcW w:type="dxa" w:w="145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最近一次券商觀點</w:t>
            </w:r>
          </w:p>
        </w:tc>
        <w:tc>
          <w:tcPr>
            <w:tcW w:type="dxa" w:w="5100"/>
            <w:shd w:fill="DCE6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00000"/>
                <w:sz w:val="17"/>
                <w:szCs w:val="17"/>
              </w:rPr>
              <w:t xml:space="preserve">備註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萬潤
(6187)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無新券商報告
或評等調整</w:t>
            </w:r>
          </w:p>
        </w:tc>
        <w:tc>
          <w:tcPr>
            <w:tcW w:type="dxa" w:w="145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7/27：一家美系外資初評買進、目標價 1,500 元；另一家美系外資維持買進、目標價由 1,650 元下修至 1,550 元</w:t>
            </w:r>
          </w:p>
        </w:tc>
        <w:tc>
          <w:tcPr>
            <w:tcW w:type="dxa" w:w="5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20" w:line="250"/>
              <w:jc w:val="left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000000"/>
                <w:sz w:val="17"/>
                <w:szCs w:val="17"/>
              </w:rPr>
              <w:t xml:space="preserve">8/4 盤前報導提及 CoPoS 預期 2026 年進入商業化驗證、2028 年邁向量產，法人點名弘塑、萬潤、均華可望率先受惠（產業消息，未附評等或目標價）。註：1,550 元一說出處中時與 FTNN 不一致，待確認。</w:t>
            </w:r>
          </w:p>
        </w:tc>
      </w:tr>
    </w:tbl>
    <w:p>
      <w:pPr>
        <w:pBdr>
          <w:bottom w:val="single" w:color="9DB4CE" w:sz="6" w:space="2"/>
        </w:pBdr>
        <w:spacing w:after="100" w:before="220"/>
      </w:pPr>
      <w:r>
        <w:rPr>
          <w:rFonts w:ascii="Microsoft JhengHei" w:cs="Microsoft JhengHei" w:eastAsia="Microsoft JhengHei" w:hAnsi="Microsoft JhengHei"/>
          <w:b/>
          <w:bCs/>
          <w:color w:val="1F3864"/>
          <w:sz w:val="22"/>
          <w:szCs w:val="22"/>
        </w:rPr>
        <w:t xml:space="preserve">來源連結</w:t>
      </w:r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・景碩／高盛 目標價 1,125 元（工商時報 8/4 13:08） — </w:t>
      </w:r>
      <w:hyperlink w:history="1" r:id="rIdqc2mo8ohklv6hod8ugtu_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https://www.ctee.com.tw/news/20260804701043-430201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・景碩／高盛 上調獲利預估（經濟日報 8/4 12:14） — </w:t>
      </w:r>
      <w:hyperlink w:history="1" r:id="rId2ktfcft_j6pp21v2hvqi7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https://money.udn.com/money/story/5607/9669608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・光寶科／本土法人 目標價 370 元（工商時報 8/4 10:55） — </w:t>
      </w:r>
      <w:hyperlink w:history="1" r:id="rIdnirpduvar2fz9hjpuuubr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https://www.ctee.com.tw/news/20260804700773-430201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・聯發科、鴻勁 法人評等與目標價（工商時報 8/4 03:00） — </w:t>
      </w:r>
      <w:hyperlink w:history="1" r:id="rIdhyncnyye4qt8nutjz0njn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https://www.ctee.com.tw/news/20260804700284-430203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・川湖 法人上修獲利預估（經濟日報 8/4 12:58） — </w:t>
      </w:r>
      <w:hyperlink w:history="1" r:id="rIdsl9ddmgdulsdbuqeyth60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https://money.udn.com/money/story/5607/9669723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・花旗 台灣半導體產業報告 六檔買進（聯合新聞網 8/4 17:14） — </w:t>
      </w:r>
      <w:hyperlink w:history="1" r:id="rIdboemlyqz2qtfdnzpdc1lr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https://udn.com/news/story/7251/9670358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・國巨 多家外資維持正向（經濟日報 8/4 17:31，付費內容） — </w:t>
      </w:r>
      <w:hyperlink w:history="1" r:id="rIdduuphlrcwqtluyb6hxw2h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https://money.udn.com/money/story/5607/9670344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・國巨、禾伸堂 永誠投顧技術面反彈目標（工商時報 8/4 12:40） — </w:t>
      </w:r>
      <w:hyperlink w:history="1" r:id="rId9wnld2-rbw5zbqlez4zqr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https://www.ctee.com.tw/news/20260804701014-430201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・南亞科、華邦電 美系外資目標價（聯合新聞網 8/4 10:57） — </w:t>
      </w:r>
      <w:hyperlink w:history="1" r:id="rIdei_rcwurbtrvlotzcmt-i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https://udn.com/news/story/7251/9669322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・操作風向球 康和／華南／永豐投顧觀點（工商時報 8/4 03:00） — </w:t>
      </w:r>
      <w:hyperlink w:history="1" r:id="rIdea-ssc0s7pjw7epc1tpor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https://www.ctee.com.tw/news/20260804700075-430201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・外資空單 90,038 口創新高、凱基投顧技術面（工商時報 8/4 03:00） — </w:t>
      </w:r>
      <w:hyperlink w:history="1" r:id="rIdmvuxtqay0bot-ppdzxkmb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https://www.ctee.com.tw/news/20260804700066-439901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・TrendForce CSP 資本支出與 AI 伺服器出貨（工商時報 8/4 03:00） — </w:t>
      </w:r>
      <w:hyperlink w:history="1" r:id="rIdyiyiepwvl1f6qnzo5ysgz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https://www.ctee.com.tw/news/20260804700179-430502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・美系 CSP 續擴 AI 投資 散熱／電源／高階 PCB（工商時報 8/4 03:00） — </w:t>
      </w:r>
      <w:hyperlink w:history="1" r:id="rIdxe4owz5v7op931tmlwmcu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https://www.ctee.com.tw/news/20260804700182-430502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・十銓、鈺創 Q2 財報與 DRAM 漲價（工商時報 8/4 03:00） — </w:t>
      </w:r>
      <w:hyperlink w:history="1" r:id="rIdbkp_ivbtucxrrm4wvuzva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https://www.ctee.com.tw/news/20260804700210-430501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・8/4 盤前要聞 含 CoPoS 點名萬潤（工商時報 8/4 07:26） — </w:t>
      </w:r>
      <w:hyperlink w:history="1" r:id="rIdigmr4qizldo6q1vlgb3eu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https://www.ctee.com.tw/news/20260804700433-430201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・台股 8/4 盤後量價（工商時報 8/4 14:19） — </w:t>
      </w:r>
      <w:hyperlink w:history="1" r:id="rIdpsggolztquolg6zwafkxu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https://www.ctee.com.tw/news/20260804700923-430201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・盤後解析 台股震盪中找主流（工商時報 8/4 14:37） — </w:t>
      </w:r>
      <w:hyperlink w:history="1" r:id="rIdfxq6psct2bgonby0z_cr3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https://www.ctee.com.tw/news/20260804701300-430201</w:t>
        </w:r>
      </w:hyperlink>
    </w:p>
    <w:p>
      <w:pPr>
        <w:spacing w:after="30" w:before="30" w:line="260"/>
        <w:ind w:left="300" w:hanging="190"/>
      </w:pPr>
      <w:r>
        <w:rPr>
          <w:rFonts w:ascii="Microsoft JhengHei" w:cs="Microsoft JhengHei" w:eastAsia="Microsoft JhengHei" w:hAnsi="Microsoft JhengHei"/>
          <w:b w:val="false"/>
          <w:bCs w:val="false"/>
          <w:color w:val="000000"/>
          <w:sz w:val="17"/>
          <w:szCs w:val="17"/>
        </w:rPr>
        <w:t xml:space="preserve">・凌華法說（工商時報 8/4 16:57） — </w:t>
      </w:r>
      <w:hyperlink w:history="1" r:id="rIdr3qqnsba_aqeuvyxsoexn">
        <w:r>
          <w:rPr>
            <w:rFonts w:ascii="Microsoft JhengHei" w:cs="Microsoft JhengHei" w:eastAsia="Microsoft JhengHei" w:hAnsi="Microsoft JhengHei"/>
            <w:color w:val="0563C1"/>
            <w:sz w:val="16"/>
            <w:szCs w:val="16"/>
            <w:u w:val="single"/>
          </w:rPr>
          <w:t xml:space="preserve">https://www.ctee.com.tw/news/20260804701670-430201</w:t>
        </w:r>
      </w:hyperlink>
    </w:p>
    <w:p>
      <w:pPr>
        <w:pBdr>
          <w:top w:val="single" w:color="BFBFBF" w:sz="6" w:space="6"/>
        </w:pBdr>
        <w:spacing w:before="300"/>
      </w:pPr>
      <w:r>
        <w:rPr>
          <w:rFonts w:ascii="Microsoft JhengHei" w:cs="Microsoft JhengHei" w:eastAsia="Microsoft JhengHei" w:hAnsi="Microsoft JhengHei"/>
          <w:b w:val="false"/>
          <w:bCs w:val="false"/>
          <w:color w:val="595959"/>
          <w:sz w:val="16"/>
          <w:szCs w:val="16"/>
        </w:rPr>
        <w:t xml:space="preserve">本總覽依公開新聞整理，非完整券商報告；數字以原文為準，標示「待確認」者請自行查證。不構成投資建議。</w:t>
      </w:r>
    </w:p>
    <w:sectPr>
      <w:headerReference w:type="default" r:id="rId9"/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c2mo8ohklv6hod8ugtu_" Type="http://schemas.openxmlformats.org/officeDocument/2006/relationships/hyperlink" Target="https://www.ctee.com.tw/news/20260804701043-430201" TargetMode="External"/><Relationship Id="rId2ktfcft_j6pp21v2hvqi7" Type="http://schemas.openxmlformats.org/officeDocument/2006/relationships/hyperlink" Target="https://money.udn.com/money/story/5607/9669608" TargetMode="External"/><Relationship Id="rIdnirpduvar2fz9hjpuuubr" Type="http://schemas.openxmlformats.org/officeDocument/2006/relationships/hyperlink" Target="https://www.ctee.com.tw/news/20260804700773-430201" TargetMode="External"/><Relationship Id="rIdhyncnyye4qt8nutjz0njn" Type="http://schemas.openxmlformats.org/officeDocument/2006/relationships/hyperlink" Target="https://www.ctee.com.tw/news/20260804700284-430203" TargetMode="External"/><Relationship Id="rIdsl9ddmgdulsdbuqeyth60" Type="http://schemas.openxmlformats.org/officeDocument/2006/relationships/hyperlink" Target="https://money.udn.com/money/story/5607/9669723" TargetMode="External"/><Relationship Id="rIdboemlyqz2qtfdnzpdc1lr" Type="http://schemas.openxmlformats.org/officeDocument/2006/relationships/hyperlink" Target="https://udn.com/news/story/7251/9670358" TargetMode="External"/><Relationship Id="rIdduuphlrcwqtluyb6hxw2h" Type="http://schemas.openxmlformats.org/officeDocument/2006/relationships/hyperlink" Target="https://money.udn.com/money/story/5607/9670344" TargetMode="External"/><Relationship Id="rId9wnld2-rbw5zbqlez4zqr" Type="http://schemas.openxmlformats.org/officeDocument/2006/relationships/hyperlink" Target="https://www.ctee.com.tw/news/20260804701014-430201" TargetMode="External"/><Relationship Id="rIdei_rcwurbtrvlotzcmt-i" Type="http://schemas.openxmlformats.org/officeDocument/2006/relationships/hyperlink" Target="https://udn.com/news/story/7251/9669322" TargetMode="External"/><Relationship Id="rIdea-ssc0s7pjw7epc1tpor" Type="http://schemas.openxmlformats.org/officeDocument/2006/relationships/hyperlink" Target="https://www.ctee.com.tw/news/20260804700075-430201" TargetMode="External"/><Relationship Id="rIdmvuxtqay0bot-ppdzxkmb" Type="http://schemas.openxmlformats.org/officeDocument/2006/relationships/hyperlink" Target="https://www.ctee.com.tw/news/20260804700066-439901" TargetMode="External"/><Relationship Id="rIdyiyiepwvl1f6qnzo5ysgz" Type="http://schemas.openxmlformats.org/officeDocument/2006/relationships/hyperlink" Target="https://www.ctee.com.tw/news/20260804700179-430502" TargetMode="External"/><Relationship Id="rIdxe4owz5v7op931tmlwmcu" Type="http://schemas.openxmlformats.org/officeDocument/2006/relationships/hyperlink" Target="https://www.ctee.com.tw/news/20260804700182-430502" TargetMode="External"/><Relationship Id="rIdbkp_ivbtucxrrm4wvuzva" Type="http://schemas.openxmlformats.org/officeDocument/2006/relationships/hyperlink" Target="https://www.ctee.com.tw/news/20260804700210-430501" TargetMode="External"/><Relationship Id="rIdigmr4qizldo6q1vlgb3eu" Type="http://schemas.openxmlformats.org/officeDocument/2006/relationships/hyperlink" Target="https://www.ctee.com.tw/news/20260804700433-430201" TargetMode="External"/><Relationship Id="rIdpsggolztquolg6zwafkxu" Type="http://schemas.openxmlformats.org/officeDocument/2006/relationships/hyperlink" Target="https://www.ctee.com.tw/news/20260804700923-430201" TargetMode="External"/><Relationship Id="rIdfxq6psct2bgonby0z_cr3" Type="http://schemas.openxmlformats.org/officeDocument/2006/relationships/hyperlink" Target="https://www.ctee.com.tw/news/20260804701300-430201" TargetMode="External"/><Relationship Id="rIdr3qqnsba_aqeuvyxsoexn" Type="http://schemas.openxmlformats.org/officeDocument/2006/relationships/hyperlink" Target="https://www.ctee.com.tw/news/20260804701670-430201" TargetMode="External"/><Relationship Id="rId25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2026-08-04T11:25:30.170Z</dcterms:created>
  <dcterms:modified xsi:type="dcterms:W3CDTF">2026-08-04T11:25:30.171Z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