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1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券商報告日報總覽（早盤場次）</w:t>
      </w:r>
    </w:p>
    <w:p>
      <w:pPr>
        <w:spacing w:after="160" w:line="276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2026/08/27（四）　</w:t>
      </w: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場次窗口：08/26 19:10 – 08/27 08:10　來源：工商時報、經濟日報、鉅亨網</w:t>
      </w:r>
    </w:p>
    <w:p>
      <w:pPr>
        <w:pStyle w:val="Heading2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一、本場次重點</w:t>
      </w:r>
    </w:p>
    <w:p>
      <w:pPr>
        <w:spacing w:after="120" w:line="27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本場次新增具評等／目標價觀點 2 筆，全部集中在光聖(6442)：調研機構 ALETHEIA 給予「買進」、目標價 3,333 元（本系統首度收錄光聖評等序列，原文未載前值，語境「不改其志」疑為重申）；兆豐國際證券、華南投顧等多家研究機構給予正向評等，股價預期 2,000～2,450 元。兩者落差達 36%（本系統回算）。</w:t>
      </w:r>
    </w:p>
    <w:p>
      <w:pPr>
        <w:spacing w:after="120" w:line="27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高盛證券具名點評聯亞(3081)：Q2 毛利率與淨利全面超越市場預期、資料中心營收占比已達 80%～85%、矽光子為主要貢獻，Q3 起續成長（未載評等與目標價；聯亞 08/26 漲停收 3,255 元創收盤新高，既有美系 4,401 vs 日系 900 的極端分歧仍未結案）。</w:t>
      </w:r>
    </w:p>
    <w:p>
      <w:pPr>
        <w:spacing w:after="120" w:line="27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補收錄：瑞銀 UBS Evidence Lab 全球 MLCC 通路調查（08/26 15:49 見報、前場次漏收）——分銷商庫存量續創歷史新低、單位價格指數升至 2023 年 1 月以來最高，評等目標價皆為日韓廠（村田／三星電機／TDK 買入、太陽誘電中性），台股關聯為國巨(2327)：庫存量 -1%、單價 +7%、庫存金額 +13%。</w:t>
      </w:r>
    </w:p>
    <w:p>
      <w:pPr>
        <w:spacing w:after="160" w:line="27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事件面：輝達 FY2027 Q2 財報大幅超預期（營收 962.2 億美元、年增 106%），Q3 財測 1,080 億美元、2028 財年營收指引年增約 70%，盤後股價由跌 4% 反轉漲近 5%。廣發／瑞銀上週「本季財測 1,080 億」預測命中。</w:t>
      </w:r>
    </w:p>
    <w:p>
      <w:pPr>
        <w:pStyle w:val="Heading2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二、觀點總表（按產業分組）</w:t>
      </w:r>
    </w:p>
    <w:p>
      <w:pPr>
        <w:spacing w:after="60" w:line="276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2"/>
          <w:szCs w:val="22"/>
        </w:rPr>
        <w:t xml:space="preserve">光通訊／CPO－矽光子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500"/>
        <w:gridCol w:w="1300"/>
        <w:gridCol w:w="1900"/>
        <w:gridCol w:w="2900"/>
      </w:tblGrid>
      <w:tr>
        <w:tc>
          <w:tcPr>
            <w:tcW w:type="dxa" w:w="17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券商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個股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評等</w:t>
            </w:r>
          </w:p>
        </w:tc>
        <w:tc>
          <w:tcPr>
            <w:tcW w:type="dxa" w:w="19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目標價（新/舊）</w:t>
            </w:r>
          </w:p>
        </w:tc>
        <w:tc>
          <w:tcPr>
            <w:tcW w:type="dxa" w:w="29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一句話重點</w:t>
            </w:r>
          </w:p>
        </w:tc>
      </w:tr>
      <w:tr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ALETHEIA（調研機構）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光聖 6442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A7A3C"/>
                <w:sz w:val="20"/>
                <w:szCs w:val="20"/>
              </w:rPr>
              <w:t xml:space="preserve">買進（疑重申）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3,333／前值未載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最早研究光聖的機構「不改其志」；股價相對 CPO 族群落後</w:t>
            </w:r>
          </w:p>
        </w:tc>
      </w:tr>
      <w:tr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兆豐國際證券、華南投顧等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光聖 6442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1A7A3C"/>
                <w:sz w:val="20"/>
                <w:szCs w:val="20"/>
              </w:rPr>
              <w:t xml:space="preserve">正向評等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2,000～2,450（區間）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多家研究機構同給正向；個別目標價歸屬未拆分</w:t>
            </w:r>
          </w:p>
        </w:tc>
      </w:tr>
      <w:tr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高盛證券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聯亞 3081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未載評等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未載目標價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Q2 毛利率／淨利超預期；DC 占比 80–85%；矽光子 Q3 起續成長</w:t>
            </w:r>
          </w:p>
        </w:tc>
      </w:tr>
    </w:tbl>
    <w:p>
      <w:pPr>
        <w:spacing w:after="60" w:line="27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line="276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2"/>
          <w:szCs w:val="22"/>
        </w:rPr>
        <w:t xml:space="preserve">被動元件 MLCC（補收錄 08/26 15:49）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500"/>
        <w:gridCol w:w="1300"/>
        <w:gridCol w:w="1900"/>
        <w:gridCol w:w="2900"/>
      </w:tblGrid>
      <w:tr>
        <w:tc>
          <w:tcPr>
            <w:tcW w:type="dxa" w:w="175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券商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個股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評等</w:t>
            </w:r>
          </w:p>
        </w:tc>
        <w:tc>
          <w:tcPr>
            <w:tcW w:type="dxa" w:w="19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目標價（新/舊）</w:t>
            </w:r>
          </w:p>
        </w:tc>
        <w:tc>
          <w:tcPr>
            <w:tcW w:type="dxa" w:w="29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一句話重點</w:t>
            </w:r>
          </w:p>
        </w:tc>
      </w:tr>
      <w:tr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瑞銀（UBS Evidence Lab）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產業調查</w:t>
            </w:r>
          </w:p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（台股關聯：國巨）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村田／三星電機／TDK 買入</w:t>
            </w:r>
          </w:p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太陽誘電中性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村田 13,200 日圓</w:t>
            </w:r>
          </w:p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三星電機 250 萬韓元</w:t>
            </w:r>
          </w:p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TDK 4,950 日圓</w:t>
            </w:r>
          </w:p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太陽誘電 17,700 日圓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MLCC 通路庫存量 4 週再減 8% 創歷史新低、單價指數 +7%；量跌價升背離＝漲價加速</w:t>
            </w:r>
          </w:p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★無台股個股評等／目標價</w:t>
            </w:r>
          </w:p>
        </w:tc>
      </w:tr>
    </w:tbl>
    <w:p>
      <w:pPr>
        <w:spacing w:after="160" w:line="276"/>
      </w:pP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註：瑞銀本篇評等與目標價全數為日韓廠，非台股個股觀點，僅作產業訊號收錄；國巨通路數據（庫存量 -1%／單價 +7%）與 08/25 台股被動元件重挫方向背離，值得追蹤。</w:t>
      </w:r>
    </w:p>
    <w:p>
      <w:pPr>
        <w:pStyle w:val="Heading2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三、背景紀錄（無評等／無目標價，不構成可操作訊號）</w:t>
      </w:r>
    </w:p>
    <w:p>
      <w:pPr>
        <w:spacing w:after="120" w:line="27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鴻海(2317)／技嘉(2376)（經濟日報權證版，法人未具名）：Q4 Vera Rubin 機櫃量產；法人預期鴻海 VR200 市占率 40% 以上（部分客戶逾 50%）、Vera Rubin 約 45,000 櫃以上；技嘉今明年 AI 伺服器占伺服器比重 90.9%／91.5%、占整體營收 67%／72%。</w:t>
      </w:r>
    </w:p>
    <w:p>
      <w:pPr>
        <w:spacing w:after="120" w:line="27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南亞科(2408)／華邦電(2344)（經濟日報權證版，市場估）：南亞科 Q3 營收 944.2 億元（+14.4% QoQ）、毛利率 81.1%、EPS 16.8 元續創高，全年 EPS 估 55.9 元；明年資本支出大增至 2,000 億元、長約占比 50%。華邦電市場估全年 EPS 24.8 元（可與 08/26 本國投顧目標價 218 元並讀）。</w:t>
      </w:r>
    </w:p>
    <w:p>
      <w:pPr>
        <w:spacing w:after="120" w:line="27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聯發科(2454)／群聯(8299)（工商時報權證版）：美系券商指 AMD、Marvell 正與 Google 合作開發 AI ASIC；法人預期聯發科 TPU 營收 Q4 起放量、2027 年底占營收逾半、3 奈米 TPU 出貨量 2027 年可能接近 Broadcom；群聯與 NAND 原廠升級為策略合作夥伴。</w:t>
      </w:r>
    </w:p>
    <w:p>
      <w:pPr>
        <w:spacing w:after="120" w:line="27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大立光(3008)：08/26 漲停 6,290 元創天價，已超越高盛／美銀／摩根大通既有股價預期。台光電(2383)：法人指載板用 CCL 已送樣，Resonac 上修財測佐證 AI 材料需求。</w:t>
      </w:r>
    </w:p>
    <w:p>
      <w:pPr>
        <w:spacing w:after="160" w:line="27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總經：摩根士丹利將台灣 2026 年 GDP 成長率預測由 8.9% 上調至 11.6%（近 40 年最強）、2027 年由 4.7% 上調至 7.5%；麥格理看 AI 推論與邊緣 AI 為下一波殺手級應用。</w:t>
      </w:r>
    </w:p>
    <w:p>
      <w:pPr>
        <w:pStyle w:val="Heading2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四、輝達 FY2027 Q2 財報（台北 08/27 凌晨）</w:t>
      </w:r>
    </w:p>
    <w:p>
      <w:pPr>
        <w:spacing w:after="120" w:line="27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營收 962.2 億美元（年增 106%、季增 18%），大勝市場預估 921.7 億；調整後 EPS 2.22 美元（+120%）優於預期 2.1 美元。資料中心 890.23 億美元（+117%，占 92.5%），其中超大規模雲端 487.1 億（+102%，遠勝預估 435.5 億）。</w:t>
      </w:r>
    </w:p>
    <w:p>
      <w:pPr>
        <w:spacing w:after="120" w:line="27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Q3 財測 1,080 億美元 ±2%（年增約 90%），高於市場共識 1,040～1,050 億——單季營收將首度突破千億美元；惟 Q3 非 GAAP 毛利率指引 74% 低於 Q2 的 75%，並預告毛利率於 FY2027 Q4 觸底 71%～72%（記憶體成本上漲）。供應承諾金額由 1,190 億暴增至 2,790 億美元（主因記憶體採購）。</w:t>
      </w:r>
    </w:p>
    <w:p>
      <w:pPr>
        <w:spacing w:after="120" w:line="27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2028 財年營收指引年增約 70%，大幅高於分析師預估的 44%～45%；AWS 宣布採購 200 萬顆 GPU 並採用 Vera CPU；財務長預估前五大 CSP 資本支出 2026 年 8,000 億 → 2027 年 1.3 兆美元。盤後股價先跌 4% 後轉漲近 5%。</w:t>
      </w:r>
    </w:p>
    <w:p>
      <w:pPr>
        <w:spacing w:after="160" w:line="27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對台股意涵：法人估輝達財報後指數區間——統一投顧黎方國看 44K～46K（挑戰 46K 量能須破兆）、台新投顧黃文清看 40K～46K、康和證券廖繼弘認為有機會上攻前高 46,402 點但以區間震盪為主。</w:t>
      </w:r>
    </w:p>
    <w:p>
      <w:pPr>
        <w:pStyle w:val="Heading2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五、大盤與事件</w:t>
      </w:r>
    </w:p>
    <w:p>
      <w:pPr>
        <w:spacing w:after="120" w:line="27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台股 08/26 收 45,832.62 點，大漲 663.16 點（+1.47%），重新站回所有均線；成交量口徑：經濟日報 8,042 億元 vs 工商時報 8,430 億元（連續第七次出現口徑差異，建議固定單一來源）。三大法人買超約 594 億元、外資買超逾 365 億元。台積電收 2,415 元，八檔千金股漲停。</w:t>
      </w:r>
    </w:p>
    <w:p>
      <w:pPr>
        <w:spacing w:after="120" w:line="27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國際（08/26 美股收盤）：道瓊 -0.21%、S&amp;P500 -0.02%、那指 -0.08%、費半 +0.20%；美 7 月 PCE 年增 3.7% 高於預期，9 月 Fed 按兵不動機率 59.9%、升息一碼 40.1%；30 年美債殖利率一度升破 5%。台指期夜盤 PCE 公布後一度跌近 200 點（輝達財報後夜盤收盤值本場次未取得，列待補）。</w:t>
      </w:r>
    </w:p>
    <w:p>
      <w:pPr>
        <w:spacing w:after="120" w:line="27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其他：伊朗與阿曼就荷姆茲海峽臨時航道達成框架協議，WTI 盤中跌破 80 美元；加拿大宣布對逾 700 項美國商品加徵 15%～50% 關稅（9/8 生效）；紐約銅價再創歷史新高；新台幣收 31.818 元創逾兩個月新高；蘋果發表會 9/9（首款摺疊 iPhone）。</w:t>
      </w:r>
    </w:p>
    <w:p>
      <w:pPr>
        <w:spacing w:after="160" w:line="27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今日事件：立法院院會表決無人機條例（提前至 08/27）、國發會 7 月景氣燈號、川湖除息 51 元、中大 8 月 CCI；週五 Jackson Hole 華許演說；08/31 MSCI 季調生效；09/02 SEMICON Taiwan。沙德爾颱風預估今上半天發布海上警報。</w:t>
      </w:r>
    </w:p>
    <w:p>
      <w:pPr>
        <w:pStyle w:val="Heading2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六、來源連結</w:t>
      </w:r>
    </w:p>
    <w:p>
      <w:pPr>
        <w:spacing w:after="40" w:line="260"/>
      </w:pP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• 工商時報 A1｜台股翻多量能卻不足（含 ALETHEIA 光聖 3,333 元、高盛聯亞）：</w:t>
      </w:r>
      <w:r>
        <w:rPr>
          <w:rFonts w:ascii="Microsoft JhengHei" w:cs="Microsoft JhengHei" w:eastAsia="Microsoft JhengHei" w:hAnsi="Microsoft JhengHei"/>
          <w:color w:val="2E5FA3"/>
          <w:sz w:val="18"/>
          <w:szCs w:val="18"/>
        </w:rPr>
        <w:t xml:space="preserve">https://www.ctee.com.tw/news/20260827700055-439901</w:t>
      </w:r>
    </w:p>
    <w:p>
      <w:pPr>
        <w:spacing w:after="40" w:line="260"/>
      </w:pP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• 工商時報｜瑞銀 MLCC 庫存創歷史新低（補收錄）：</w:t>
      </w:r>
      <w:r>
        <w:rPr>
          <w:rFonts w:ascii="Microsoft JhengHei" w:cs="Microsoft JhengHei" w:eastAsia="Microsoft JhengHei" w:hAnsi="Microsoft JhengHei"/>
          <w:color w:val="2E5FA3"/>
          <w:sz w:val="18"/>
          <w:szCs w:val="18"/>
        </w:rPr>
        <w:t xml:space="preserve">https://www.ctee.com.tw/news/20260826701247-430502</w:t>
      </w:r>
    </w:p>
    <w:p>
      <w:pPr>
        <w:spacing w:after="40" w:line="260"/>
      </w:pP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• 工商時報｜輝達財報雙喜 2028 財年營收估增 70%：</w:t>
      </w:r>
      <w:r>
        <w:rPr>
          <w:rFonts w:ascii="Microsoft JhengHei" w:cs="Microsoft JhengHei" w:eastAsia="Microsoft JhengHei" w:hAnsi="Microsoft JhengHei"/>
          <w:color w:val="2E5FA3"/>
          <w:sz w:val="18"/>
          <w:szCs w:val="18"/>
        </w:rPr>
        <w:t xml:space="preserve">https://www.ctee.com.tw/news/20260827700395-430704</w:t>
      </w:r>
    </w:p>
    <w:p>
      <w:pPr>
        <w:spacing w:after="40" w:line="260"/>
      </w:pP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• 工商時報｜聯發科、群聯 營運表現可期：</w:t>
      </w:r>
      <w:r>
        <w:rPr>
          <w:rFonts w:ascii="Microsoft JhengHei" w:cs="Microsoft JhengHei" w:eastAsia="Microsoft JhengHei" w:hAnsi="Microsoft JhengHei"/>
          <w:color w:val="2E5FA3"/>
          <w:sz w:val="18"/>
          <w:szCs w:val="18"/>
        </w:rPr>
        <w:t xml:space="preserve">https://www.ctee.com.tw/news/20260827700287-439901</w:t>
      </w:r>
    </w:p>
    <w:p>
      <w:pPr>
        <w:spacing w:after="40" w:line="260"/>
      </w:pP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• 工商時報｜震盪換手 台股 AI 多頭主線不變：</w:t>
      </w:r>
      <w:r>
        <w:rPr>
          <w:rFonts w:ascii="Microsoft JhengHei" w:cs="Microsoft JhengHei" w:eastAsia="Microsoft JhengHei" w:hAnsi="Microsoft JhengHei"/>
          <w:color w:val="2E5FA3"/>
          <w:sz w:val="18"/>
          <w:szCs w:val="18"/>
        </w:rPr>
        <w:t xml:space="preserve">https://www.ctee.com.tw/news/20260827700320-439901</w:t>
      </w:r>
    </w:p>
    <w:p>
      <w:pPr>
        <w:spacing w:after="40" w:line="260"/>
      </w:pP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• 經濟日報｜鴻海、技嘉 四檔財運佳：</w:t>
      </w:r>
      <w:r>
        <w:rPr>
          <w:rFonts w:ascii="Microsoft JhengHei" w:cs="Microsoft JhengHei" w:eastAsia="Microsoft JhengHei" w:hAnsi="Microsoft JhengHei"/>
          <w:color w:val="2E5FA3"/>
          <w:sz w:val="18"/>
          <w:szCs w:val="18"/>
        </w:rPr>
        <w:t xml:space="preserve">https://money.udn.com/money/story/5739/9716181</w:t>
      </w:r>
    </w:p>
    <w:p>
      <w:pPr>
        <w:spacing w:after="40" w:line="260"/>
      </w:pP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• 經濟日報｜南亞科、華邦電 動能強：</w:t>
      </w:r>
      <w:r>
        <w:rPr>
          <w:rFonts w:ascii="Microsoft JhengHei" w:cs="Microsoft JhengHei" w:eastAsia="Microsoft JhengHei" w:hAnsi="Microsoft JhengHei"/>
          <w:color w:val="2E5FA3"/>
          <w:sz w:val="18"/>
          <w:szCs w:val="18"/>
        </w:rPr>
        <w:t xml:space="preserve">https://money.udn.com/money/story/5739/9716183</w:t>
      </w:r>
    </w:p>
    <w:p>
      <w:pPr>
        <w:spacing w:after="40" w:line="260"/>
      </w:pP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• 經濟日報｜輝達 Q2 財報超預期：</w:t>
      </w:r>
      <w:r>
        <w:rPr>
          <w:rFonts w:ascii="Microsoft JhengHei" w:cs="Microsoft JhengHei" w:eastAsia="Microsoft JhengHei" w:hAnsi="Microsoft JhengHei"/>
          <w:color w:val="2E5FA3"/>
          <w:sz w:val="18"/>
          <w:szCs w:val="18"/>
        </w:rPr>
        <w:t xml:space="preserve">https://money.udn.com/money/story/123398/9716659</w:t>
      </w:r>
    </w:p>
    <w:p>
      <w:pPr>
        <w:spacing w:after="40" w:line="260"/>
      </w:pP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• 鉅亨網｜外資評等表（最新評等日 20260826，本場次零新增）：</w:t>
      </w:r>
      <w:r>
        <w:rPr>
          <w:rFonts w:ascii="Microsoft JhengHei" w:cs="Microsoft JhengHei" w:eastAsia="Microsoft JhengHei" w:hAnsi="Microsoft JhengHei"/>
          <w:color w:val="2E5FA3"/>
          <w:sz w:val="18"/>
          <w:szCs w:val="18"/>
        </w:rPr>
        <w:t xml:space="preserve">https://www.cnyes.com/archive/twstock/board/ratediff.aspx?gt=qfii&amp;gp=rate</w:t>
      </w:r>
    </w:p>
    <w:p>
      <w:pPr>
        <w:spacing w:after="60" w:line="276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8"/>
          <w:szCs w:val="18"/>
        </w:rPr>
        <w:t xml:space="preserve">本總覽依公開新聞整理，非完整報告；「本系統回算」數字為機械式計算，非券商原文。整理：旺來 wowwow31001</w:t>
      </w:r>
    </w:p>
    <w:sectPr>
      <w:head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2026-08-27T00:22:56.548Z</dcterms:created>
  <dcterms:modified xsi:type="dcterms:W3CDTF">2026-08-27T00:22:56.548Z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