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261005｜瑞銀｜穩懋3105</w:t>
      </w:r>
    </w:p>
    <w:p>
      <w:r>
        <w:t>穩懋（3105）｜瑞銀 UBS（外資，★具名）</w:t>
      </w:r>
    </w:p>
    <w:p>
      <w:r>
        <w:t>2026/10/05 早盤場次收錄　半導體－砷化鎵／氮化鎵晶圓代工　經濟日報 10/04 18:58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瑞銀 UBS（外資）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725 元（前值 500 元，上調 45%）</w:t>
            </w:r>
          </w:p>
        </w:tc>
      </w:tr>
      <w:tr>
        <w:tc>
          <w:tcPr>
            <w:tcW w:type="dxa" w:w="4320"/>
          </w:tcPr>
          <w:p>
            <w:r>
              <w:t>獲利預估</w:t>
            </w:r>
          </w:p>
        </w:tc>
        <w:tc>
          <w:tcPr>
            <w:tcW w:type="dxa" w:w="4320"/>
          </w:tcPr>
          <w:p>
            <w:r>
              <w:t>2027 年獲利上調 72%、2028 年上調 31%；2025–2030 年 EPS 年複合成長率 44%</w:t>
            </w:r>
          </w:p>
        </w:tc>
      </w:tr>
      <w:tr>
        <w:tc>
          <w:tcPr>
            <w:tcW w:type="dxa" w:w="4320"/>
          </w:tcPr>
          <w:p>
            <w:r>
              <w:t>毛利率</w:t>
            </w:r>
          </w:p>
        </w:tc>
        <w:tc>
          <w:tcPr>
            <w:tcW w:type="dxa" w:w="4320"/>
          </w:tcPr>
          <w:p>
            <w:r>
              <w:t>2026 年 29.4% → 2028 年 37.1%</w:t>
            </w:r>
          </w:p>
        </w:tc>
      </w:tr>
      <w:tr>
        <w:tc>
          <w:tcPr>
            <w:tcW w:type="dxa" w:w="4320"/>
          </w:tcPr>
          <w:p>
            <w:r>
              <w:t>報告日</w:t>
            </w:r>
          </w:p>
        </w:tc>
        <w:tc>
          <w:tcPr>
            <w:tcW w:type="dxa" w:w="4320"/>
          </w:tcPr>
          <w:p>
            <w:r>
              <w:t>2026/10/04 見報</w:t>
            </w:r>
          </w:p>
        </w:tc>
      </w:tr>
    </w:tbl>
    <w:p>
      <w:pPr>
        <w:pStyle w:val="Heading2"/>
      </w:pPr>
      <w:r>
        <w:t>二、論點</w:t>
      </w:r>
    </w:p>
    <w:p>
      <w:r>
        <w:t>● SpaceX 9 月底完成星艦第 14 次試飛，開啟星鏈 V3 衛星升級周期；升級至 V3 衛星與 Mobile V2 平台將大幅提升射頻元件需求。</w:t>
      </w:r>
    </w:p>
    <w:p>
      <w:r>
        <w:t>● 瑞銀估每顆 V3 衛星的功率放大器（PA）與低雜訊放大器（LNA）含量較 V2 增加 4–5 倍，GaAs 與 GaN 材料消耗可能增加 6–7 倍。</w:t>
      </w:r>
    </w:p>
    <w:p>
      <w:r>
        <w:t>● 低軌衛星占穩懋營收約 10%（2026）→ 約 30%（2028），基礎設施部門營收占比由約 35% 提升至約 50%。</w:t>
      </w:r>
    </w:p>
    <w:p>
      <w:r>
        <w:t>● V3 採 GaN 功率放大器，毛利率較 GaAs PA 高 10–20 個百分點，推升整體毛利率。</w:t>
      </w:r>
    </w:p>
    <w:p>
      <w:pPr>
        <w:pStyle w:val="Heading2"/>
      </w:pPr>
      <w:r>
        <w:t>三、風險</w:t>
      </w:r>
    </w:p>
    <w:p>
      <w:r>
        <w:t>● 低軌衛星發射節奏與 V3 量產時程若遞延，營收貢獻可能晚於預期。</w:t>
      </w:r>
    </w:p>
    <w:p>
      <w:r>
        <w:t>● 手機 PA 等消費性需求波動、GaN 產能擴充與同業競爭可能壓抑毛利率改善幅度。</w:t>
      </w:r>
    </w:p>
    <w:p>
      <w:r>
        <w:t>● 新聞未載評價倍數與 EPS 絕對值，目標價推導無法完全檢驗。</w:t>
      </w:r>
    </w:p>
    <w:p>
      <w:pPr>
        <w:pStyle w:val="Heading2"/>
      </w:pPr>
      <w:r>
        <w:t>來源</w:t>
      </w:r>
    </w:p>
    <w:p>
      <w:r>
        <w:t>● 經濟日報（張瀞文）10/04 18:58　https://money.udn.com/money/story/5607/9794172</w:t>
      </w:r>
    </w:p>
    <w:p>
      <w:r>
        <w:t>本摘要依公開新聞整理，非完整報告。　浮水印帳號：旺來 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