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瑞銀｜萬潤（6187）｜半導體產業報告摘要</w:t>
      </w:r>
    </w:p>
    <w:p>
      <w:pPr>
        <w:pStyle w:val="Heading2"/>
      </w:pPr>
      <w:r>
        <w:t>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券商</w:t>
            </w:r>
          </w:p>
        </w:tc>
        <w:tc>
          <w:tcPr>
            <w:tcW w:type="dxa" w:w="1728"/>
          </w:tcPr>
          <w:p>
            <w:r>
              <w:t>類型</w:t>
            </w:r>
          </w:p>
        </w:tc>
        <w:tc>
          <w:tcPr>
            <w:tcW w:type="dxa" w:w="1728"/>
          </w:tcPr>
          <w:p>
            <w:r>
              <w:t>評等</w:t>
            </w:r>
          </w:p>
        </w:tc>
        <w:tc>
          <w:tcPr>
            <w:tcW w:type="dxa" w:w="1728"/>
          </w:tcPr>
          <w:p>
            <w:r>
              <w:t>目標價（新／舊）</w:t>
            </w:r>
          </w:p>
        </w:tc>
        <w:tc>
          <w:tcPr>
            <w:tcW w:type="dxa" w:w="1728"/>
          </w:tcPr>
          <w:p>
            <w:r>
              <w:t>日期／來源</w:t>
            </w:r>
          </w:p>
        </w:tc>
      </w:tr>
      <w:tr>
        <w:tc>
          <w:tcPr>
            <w:tcW w:type="dxa" w:w="1728"/>
          </w:tcPr>
          <w:p>
            <w:r>
              <w:t>瑞銀 UBS</w:t>
            </w:r>
          </w:p>
        </w:tc>
        <w:tc>
          <w:tcPr>
            <w:tcW w:type="dxa" w:w="1728"/>
          </w:tcPr>
          <w:p>
            <w:r>
              <w:t>外資</w:t>
            </w:r>
          </w:p>
        </w:tc>
        <w:tc>
          <w:tcPr>
            <w:tcW w:type="dxa" w:w="1728"/>
          </w:tcPr>
          <w:p>
            <w:r>
              <w:t>買進</w:t>
            </w:r>
          </w:p>
        </w:tc>
        <w:tc>
          <w:tcPr>
            <w:tcW w:type="dxa" w:w="1728"/>
          </w:tcPr>
          <w:p>
            <w:r>
              <w:t>★原文未載（前次紀錄 1,700 元，08/18）</w:t>
            </w:r>
          </w:p>
        </w:tc>
        <w:tc>
          <w:tcPr>
            <w:tcW w:type="dxa" w:w="1728"/>
          </w:tcPr>
          <w:p>
            <w:r>
              <w:t>2026/09/23 20:16｜經濟日報</w:t>
            </w:r>
          </w:p>
        </w:tc>
      </w:tr>
    </w:tbl>
    <w:p>
      <w:pPr>
        <w:pStyle w:val="Heading2"/>
      </w:pPr>
      <w:r>
        <w:t>論點</w:t>
      </w:r>
    </w:p>
    <w:p>
      <w:r>
        <w:t>• 瑞銀在 UBS Taiwan Summit 2026 及 CoWoS 產業分析後，將 2027 年底全球 CoWoS 月產能預估由 26 萬片上修至 27 萬片，遠高於 2026 年底預估的 16 萬片。</w:t>
      </w:r>
    </w:p>
    <w:p>
      <w:r>
        <w:t>• ASIC 與 CPU 走向舞台中央，成為下一波 CoWoS 擴產主要動能；即使英特爾 EMIB-T 與台積電 CoPoS 於 2028–2029 年量產，2028 年仍有 CoWoS 擴產需求。</w:t>
      </w:r>
    </w:p>
    <w:p>
      <w:r>
        <w:t>• CoWoS 供給多元化，OSAT 產能擴張積極（日月光投控 CoW 產能 2027 年底估每月 7 萬片），後段封裝設備需求延續；萬潤與弘塑、致茂、鴻勁同列瑞銀買進名單。</w:t>
      </w:r>
    </w:p>
    <w:p>
      <w:pPr>
        <w:pStyle w:val="Heading2"/>
      </w:pPr>
      <w:r>
        <w:t>風險</w:t>
      </w:r>
    </w:p>
    <w:p>
      <w:r>
        <w:t>• 原文未載萬潤個別目標價、獲利預估與評價方法；CoWoS 擴產節奏、客戶資本支出與新封裝技術（EMIB-T、CoPoS）替代進度為主要變數。</w:t>
      </w:r>
    </w:p>
    <w:p>
      <w:pPr>
        <w:pStyle w:val="Heading2"/>
      </w:pPr>
      <w:r>
        <w:t>來源</w:t>
      </w:r>
    </w:p>
    <w:p>
      <w:r>
        <w:t>經濟日報｜瑞銀：ASIC 與 CPU 推動 CoWoS 產能擴張 按讚11台廠（09/23 20:16） https://money.udn.com/money/story/5607/9773857</w:t>
      </w:r>
    </w:p>
    <w:p>
      <w: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