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color w:val="A98B3F"/>
          <w:sz w:val="32"/>
        </w:rPr>
        <w:t>個股摘要｜法人未具名｜南亞1303</w:t>
      </w:r>
    </w:p>
    <w:p>
      <w:r>
        <w:rPr>
          <w:rFonts w:ascii="Microsoft JhengHei" w:hAnsi="Microsoft JhengHei" w:eastAsia="Microsoft JhengHei"/>
          <w:b/>
          <w:sz w:val="21"/>
        </w:rPr>
        <w:t>南亞(1303)　法人（★未具名）：買進，目標價 320 元</w:t>
      </w:r>
    </w:p>
    <w:p>
      <w:r>
        <w:rPr>
          <w:rFonts w:ascii="Microsoft JhengHei" w:hAnsi="Microsoft JhengHei" w:eastAsia="Microsoft JhengHei"/>
          <w:b/>
          <w:sz w:val="21"/>
        </w:rPr>
        <w:t>資料日期：2026-09-23　｜　早盤場次　｜　浮水印：旺來 wowwow31001</w:t>
      </w:r>
    </w:p>
    <w:p>
      <w:r>
        <w:rPr>
          <w:rFonts w:ascii="Microsoft JhengHei" w:hAnsi="Microsoft JhengHei" w:eastAsia="Microsoft JhengHei"/>
          <w:b/>
          <w:color w:val="A98B3F"/>
          <w:sz w:val="25"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券商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法人（★工商時報原文未具名）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類別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★未載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產業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塑化／電子材料（玻纖布、銅箔、CCL）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320 元（標題稱「最高目標價直衝 320 元」）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目標價（舊）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★原文未載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報告日期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2026/09/22（工商時報 03:00 見報）</w:t>
            </w:r>
          </w:p>
        </w:tc>
      </w:tr>
    </w:tbl>
    <w:p>
      <w:r>
        <w:rPr>
          <w:rFonts w:ascii="Microsoft JhengHei" w:hAnsi="Microsoft JhengHei" w:eastAsia="Microsoft JhengHei"/>
          <w:b/>
          <w:color w:val="A98B3F"/>
          <w:sz w:val="25"/>
        </w:rPr>
        <w:t>二、論點</w:t>
      </w:r>
    </w:p>
    <w:p>
      <w:r>
        <w:rPr>
          <w:rFonts w:ascii="Microsoft JhengHei" w:hAnsi="Microsoft JhengHei" w:eastAsia="Microsoft JhengHei"/>
          <w:b w:val="0"/>
          <w:sz w:val="21"/>
        </w:rPr>
        <w:t>• 擴產資源持續湧入中高階材料，使以 PCB 為主軸的玻纖布、銅箔、CCL 等中低階電子材料依然緊缺，南亞電子材料漲價態勢將延續。</w:t>
      </w:r>
    </w:p>
    <w:p>
      <w:r>
        <w:rPr>
          <w:rFonts w:ascii="Microsoft JhengHei" w:hAnsi="Microsoft JhengHei" w:eastAsia="Microsoft JhengHei"/>
          <w:b w:val="0"/>
          <w:sz w:val="21"/>
        </w:rPr>
        <w:t>• 南亞積極推動 AI 供應鏈高階材料開發、認證與銷售且成效顯著，法人預期 2027 年電子相關獲利占比將提升至 98%。</w:t>
      </w:r>
    </w:p>
    <w:p>
      <w:r>
        <w:rPr>
          <w:rFonts w:ascii="Microsoft JhengHei" w:hAnsi="Microsoft JhengHei" w:eastAsia="Microsoft JhengHei"/>
          <w:b w:val="0"/>
          <w:sz w:val="21"/>
        </w:rPr>
        <w:t>• 法人認為南亞目前評價處於低檔。對照：摩根大通 09/20 給予南亞「優於大盤」、目標價由 300 元調升至 350 元。</w:t>
      </w:r>
    </w:p>
    <w:p>
      <w:r>
        <w:rPr>
          <w:rFonts w:ascii="Microsoft JhengHei" w:hAnsi="Microsoft JhengHei" w:eastAsia="Microsoft JhengHei"/>
          <w:b/>
          <w:color w:val="A98B3F"/>
          <w:sz w:val="25"/>
        </w:rPr>
        <w:t>三、風險</w:t>
      </w:r>
    </w:p>
    <w:p>
      <w:r>
        <w:rPr>
          <w:rFonts w:ascii="Microsoft JhengHei" w:hAnsi="Microsoft JhengHei" w:eastAsia="Microsoft JhengHei"/>
          <w:b w:val="0"/>
          <w:sz w:val="21"/>
        </w:rPr>
        <w:t>• 傳統石化本業景氣仍弱，若電子材料漲價不如預期，獲利結構轉換會延後。</w:t>
      </w:r>
    </w:p>
    <w:p>
      <w:r>
        <w:rPr>
          <w:rFonts w:ascii="Microsoft JhengHei" w:hAnsi="Microsoft JhengHei" w:eastAsia="Microsoft JhengHei"/>
          <w:b w:val="0"/>
          <w:sz w:val="21"/>
        </w:rPr>
        <w:t>• 外資 09/22 名列賣超前十（中央社），籌碼面與法人觀點出現分歧。</w:t>
      </w:r>
    </w:p>
    <w:p>
      <w:r>
        <w:rPr>
          <w:rFonts w:ascii="Microsoft JhengHei" w:hAnsi="Microsoft JhengHei" w:eastAsia="Microsoft JhengHei"/>
          <w:b w:val="0"/>
          <w:sz w:val="21"/>
        </w:rPr>
        <w:t>• ★原文未具名券商、未載 EPS 預估。</w:t>
      </w:r>
    </w:p>
    <w:p>
      <w:r>
        <w:rPr>
          <w:rFonts w:ascii="Microsoft JhengHei" w:hAnsi="Microsoft JhengHei" w:eastAsia="Microsoft JhengHei"/>
          <w:b/>
          <w:color w:val="A98B3F"/>
          <w:sz w:val="25"/>
        </w:rPr>
        <w:t>四、來源連結</w:t>
      </w:r>
    </w:p>
    <w:p>
      <w:r>
        <w:rPr>
          <w:rFonts w:ascii="Microsoft JhengHei" w:hAnsi="Microsoft JhengHei" w:eastAsia="Microsoft JhengHei"/>
          <w:b w:val="0"/>
          <w:sz w:val="19"/>
        </w:rPr>
        <w:t>• 工商時報｜玻纖布缺貨 南亞、富喬受惠（09/22 03:00；記者楊淨淳）　https://www.ctee.com.tw/news/20260922700278-430203</w:t>
      </w:r>
    </w:p>
    <w:p>
      <w:r>
        <w:rPr>
          <w:rFonts w:ascii="Microsoft JhengHei" w:hAnsi="Microsoft JhengHei" w:eastAsia="Microsoft JhengHei"/>
          <w:b w:val="0"/>
          <w:sz w:val="19"/>
        </w:rPr>
        <w:t>• 中央社（Yahoo股市）｜台股創高外資買超447億 加碼友達逾24萬張居冠（09/22）　https://tw.stock.yahoo.com/news/%E5%8F%B0%E8%82%A1%E5%89%B5%E9%AB%98%E5%A4%96%E8%B3%87%E8%B2%B7%E8%B6%85447%E5%84%84-%E5%8A%A0%E7%A2%BC%E5%8F%8B%E9%81%94%E9%80%BE24%E8%90%AC%E5%BC%B5%E5%B1%85%E5%86%A0-094024404.html</w:t>
      </w:r>
    </w:p>
    <w:p>
      <w:r>
        <w:rPr>
          <w:rFonts w:ascii="Microsoft JhengHei" w:hAnsi="Microsoft JhengHei" w:eastAsia="Microsoft JhengHei"/>
          <w:b w:val="0"/>
          <w:sz w:val="21"/>
        </w:rPr>
        <w:t>※ 本摘要依公開新聞整理，非完整報告。</w:t>
      </w:r>
    </w:p>
    <w:sectPr w:rsidR="00FC693F" w:rsidRPr="0006063C" w:rsidSect="00034616">
      <w:headerReference w:type="default" r:id="rIdWM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WM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