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A98B3F"/>
          <w:sz w:val="32"/>
        </w:rPr>
        <w:t>個股摘要｜法人未具名｜富喬1815</w:t>
      </w:r>
    </w:p>
    <w:p>
      <w:r>
        <w:rPr>
          <w:rFonts w:ascii="Microsoft JhengHei" w:hAnsi="Microsoft JhengHei" w:eastAsia="Microsoft JhengHei"/>
          <w:b/>
          <w:sz w:val="21"/>
        </w:rPr>
        <w:t>富喬(1815)　法人（★未具名）：買進，目標價 185 元</w:t>
      </w:r>
    </w:p>
    <w:p>
      <w:r>
        <w:rPr>
          <w:rFonts w:ascii="Microsoft JhengHei" w:hAnsi="Microsoft JhengHei" w:eastAsia="Microsoft JhengHei"/>
          <w:b/>
          <w:sz w:val="21"/>
        </w:rPr>
        <w:t>資料日期：2026-09-23　｜　早盤場次　｜　浮水印：旺來 wowwow31001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法人（★工商時報原文未具名）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電子材料－玻纖紗／玻纖布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185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目標價（舊）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估值基礎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以 2027 年獲利為評價基礎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報告日期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2026/09/22（工商時報 03:00 見報）</w:t>
            </w:r>
          </w:p>
        </w:tc>
      </w:tr>
    </w:tbl>
    <w:p>
      <w:r>
        <w:rPr>
          <w:rFonts w:ascii="Microsoft JhengHei" w:hAnsi="Microsoft JhengHei" w:eastAsia="Microsoft JhengHei"/>
          <w:b/>
          <w:color w:val="A98B3F"/>
          <w:sz w:val="25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• AI 伺服器同時具備「單位用量增加」與「技術規格升級」兩大動能，使玻璃纖維布面臨結構性缺貨。</w:t>
      </w:r>
    </w:p>
    <w:p>
      <w:r>
        <w:rPr>
          <w:rFonts w:ascii="Microsoft JhengHei" w:hAnsi="Microsoft JhengHei" w:eastAsia="Microsoft JhengHei"/>
          <w:b w:val="0"/>
          <w:sz w:val="21"/>
        </w:rPr>
        <w:t>• 富喬為台灣少數具備紗、布垂直整合與自有配方能力的玻纖布廠，也是日系龍頭以外少數具備此能力的供應商。</w:t>
      </w:r>
    </w:p>
    <w:p>
      <w:r>
        <w:rPr>
          <w:rFonts w:ascii="Microsoft JhengHei" w:hAnsi="Microsoft JhengHei" w:eastAsia="Microsoft JhengHei"/>
          <w:b w:val="0"/>
          <w:sz w:val="21"/>
        </w:rPr>
        <w:t>• 下半年受惠二代低介電布放量、報價調漲及良率改善，營收與獲利可望逐季創高。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三、風險</w:t>
      </w:r>
    </w:p>
    <w:p>
      <w:r>
        <w:rPr>
          <w:rFonts w:ascii="Microsoft JhengHei" w:hAnsi="Microsoft JhengHei" w:eastAsia="Microsoft JhengHei"/>
          <w:b w:val="0"/>
          <w:sz w:val="21"/>
        </w:rPr>
        <w:t>• 玻纖布缺貨若因同業擴產而緩解，報價上漲動能將減弱。</w:t>
      </w:r>
    </w:p>
    <w:p>
      <w:r>
        <w:rPr>
          <w:rFonts w:ascii="Microsoft JhengHei" w:hAnsi="Microsoft JhengHei" w:eastAsia="Microsoft JhengHei"/>
          <w:b w:val="0"/>
          <w:sz w:val="21"/>
        </w:rPr>
        <w:t>• 低介電布良率改善進度若不如預期，獲利提升幅度受限。</w:t>
      </w:r>
    </w:p>
    <w:p>
      <w:r>
        <w:rPr>
          <w:rFonts w:ascii="Microsoft JhengHei" w:hAnsi="Microsoft JhengHei" w:eastAsia="Microsoft JhengHei"/>
          <w:b w:val="0"/>
          <w:sz w:val="21"/>
        </w:rPr>
        <w:t>• ★原文未具名券商、未載 EPS 預估數字，屬二手轉述。</w:t>
      </w:r>
    </w:p>
    <w:p>
      <w:r>
        <w:rPr>
          <w:rFonts w:ascii="Microsoft JhengHei" w:hAnsi="Microsoft JhengHei" w:eastAsia="Microsoft JhengHei"/>
          <w:b/>
          <w:color w:val="A98B3F"/>
          <w:sz w:val="25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19"/>
        </w:rPr>
        <w:t>• 工商時報｜玻纖布缺貨 南亞、富喬受惠（09/22 03:00；記者楊淨淳）　https://www.ctee.com.tw/news/20260922700278-430203</w:t>
      </w:r>
    </w:p>
    <w:p>
      <w:r>
        <w:rPr>
          <w:rFonts w:ascii="Microsoft JhengHei" w:hAnsi="Microsoft JhengHei" w:eastAsia="Microsoft JhengHei"/>
          <w:b w:val="0"/>
          <w:sz w:val="21"/>
        </w:rP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