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sz w:val="32"/>
        </w:rPr>
        <w:t>261008｜麥格理證券｜台積電2330</w:t>
      </w:r>
    </w:p>
    <w:p>
      <w:r>
        <w:rPr>
          <w:rFonts w:ascii="Microsoft JhengHei" w:hAnsi="Microsoft JhengHei" w:eastAsia="Microsoft JhengHei" w:cs="Microsoft JhengHei"/>
          <w:b/>
          <w:sz w:val="22"/>
        </w:rPr>
        <w:t>個股摘要｜麥格理證券｜台積電2330</w:t>
      </w:r>
    </w:p>
    <w:p>
      <w:r>
        <w:rPr>
          <w:rFonts w:ascii="Microsoft JhengHei" w:hAnsi="Microsoft JhengHei" w:eastAsia="Microsoft JhengHei" w:cs="Microsoft JhengHei"/>
          <w:b/>
          <w:sz w:val="22"/>
        </w:rPr>
        <w:t>台積電(2330)　麥格理證券 Macquarie：優於大盤（維持）；目標價上調，目標價 4,410 元（前值 4,200 元）</w:t>
      </w:r>
    </w:p>
    <w:p>
      <w:r>
        <w:rPr>
          <w:rFonts w:ascii="Microsoft JhengHei" w:hAnsi="Microsoft JhengHei" w:eastAsia="Microsoft JhengHei" w:cs="Microsoft JhengHei"/>
          <w:b/>
          <w:sz w:val="22"/>
        </w:rPr>
        <w:t>資料日期：2026-10-07（見報 經濟日報 10/07 18:59）　｜　收盤場次（10/08 收錄）　｜　浮水印：旺來 wowwow31001</w:t>
      </w:r>
    </w:p>
    <w:p>
      <w:r>
        <w:rPr>
          <w:rFonts w:ascii="Microsoft JhengHei" w:hAnsi="Microsoft JhengHei" w:eastAsia="Microsoft JhengHei" w:cs="Microsoft JhengHei"/>
          <w:b/>
          <w:sz w:val="22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麥格理證券 Macquarie（分析師賴昱璋）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半導體－晶圓代工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優於大盤（維持），列為首選買進（Marquee buy）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4,410 元（前值 4,200 元，上調 5%）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評價方式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維持 2028 年 21 倍本益比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見報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經濟日報 10/07 18:59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sz w:val="22"/>
        </w:rPr>
        <w:t>二、論點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10/15 法說會聚焦四大議題：第四季毛利率指引、2 奈米營收、2027 年定價策略與德州廠時程；2 奈米定價能力是 2027 年毛利率能否續升的關鍵。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2 奈米量產進度明顯優於預期、產能利用率加速提升；7、8 月累計營收 9,820 億元，即使 9 月與 8 月持平，第三季營收仍可較財測高標 1.47 兆元高出約 2%。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第三季毛利率指引 65%～67% 偏保守，預期可達高標；2 奈米對毛利率的壓力自第四季起逐步減輕。德州廠最快 2030 年前後才會實質影響毛利率，短期海外稀釋以亞利桑那廠為主（約 2～3 個百分點）。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上調 2026～2028 年淨利預估 2%、5%、5%，估 2025～2028 年 EPS 年均複合成長率 47%；2 奈米、A16、A14 新產能與智慧裝置換機、新一代 AI 產品為三大催化劑。</w:t>
      </w:r>
    </w:p>
    <w:p>
      <w:r>
        <w:rPr>
          <w:rFonts w:ascii="Microsoft JhengHei" w:hAnsi="Microsoft JhengHei" w:eastAsia="Microsoft JhengHei" w:cs="Microsoft JhengHei"/>
          <w:b/>
          <w:sz w:val="22"/>
        </w:rPr>
        <w:t>三、風險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2 奈米產能爬坡或定價不如預期，折舊稀釋效應擴大。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海外擴產（亞利桑那、德州）成本壓抑毛利率。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AI 需求或雲端資本支出放緩。</w:t>
      </w:r>
    </w:p>
    <w:p>
      <w:r>
        <w:rPr>
          <w:rFonts w:ascii="Microsoft JhengHei" w:hAnsi="Microsoft JhengHei" w:eastAsia="Microsoft JhengHei" w:cs="Microsoft JhengHei"/>
          <w:b/>
          <w:sz w:val="22"/>
        </w:rPr>
        <w:t>四、來源連結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經濟日報｜台積電法說前目標價先噴！麥格理喊4,410元、創內外資最高價（10/07 18:59）　https://udn.com/news/story/7252/9801116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經濟日報｜台積電營收／9月逾5,118億元 創歷年同期新高 優於法人第3季預期（10/08 13:35）　https://money.udn.com/money/story/5607/9802747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