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261007｜未具名法人｜南亞1303</w:t>
      </w:r>
    </w:p>
    <w:p>
      <w:r>
        <w:rPr>
          <w:b/>
        </w:rPr>
        <w:t>個股摘要｜未具名法人｜南亞1303</w:t>
      </w:r>
    </w:p>
    <w:p>
      <w:r>
        <w:rPr>
          <w:b/>
        </w:rPr>
        <w:t>南亞(1303)　★未具名：首次給予買進，目標價 325 元（前值 待確認）</w:t>
      </w:r>
    </w:p>
    <w:p>
      <w:r>
        <w:rPr>
          <w:b/>
        </w:rPr>
        <w:t>資料日期：2026-10-07（見報 工商時報 10/07 11:51（夜間場 10/07 收錄））　｜　夜間場次　｜　浮水印：旺來 wowwow31001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★未具名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類別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★未載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塑化－CCL／電子材料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首次給予買進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325 元（前值 待確認）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見報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8"/>
              </w:rPr>
              <w:t>工商時報 10/07 11:51（夜間場 10/07 收錄）</w:t>
            </w:r>
          </w:p>
        </w:tc>
      </w:tr>
    </w:tbl>
    <w:p>
      <w:r>
        <w:rPr>
          <w:b/>
        </w:rPr>
        <w:t>二、論點</w:t>
      </w:r>
    </w:p>
    <w:p>
      <w:r>
        <w:t>• 電子材料營收占比逼近 6 成，玻纖布、銅箔與 CCL 自 2025 年底起每月調漲約 5%～10%，法人預期第 4 季仍可維持漲價。</w:t>
      </w:r>
    </w:p>
    <w:p>
      <w:r>
        <w:t>• 新港廠年底前新增每月約 30 萬張高階 CCL 產能，優先投入高毛利產品；轉投資南亞科、台塑化獲利回溫，形成本業＋業外雙引擎。</w:t>
      </w:r>
    </w:p>
    <w:p>
      <w:r>
        <w:t>• 估 2026、2027 年營收 3,408.67 億、4,427.65 億元，EPS 13.96 元、22.49 元（2027 年本業約 10.38 元、業外約 12.10 元），採分部估值首次給予買進、目標價 325 元。</w:t>
      </w:r>
    </w:p>
    <w:p>
      <w:r>
        <w:rPr>
          <w:b/>
        </w:rPr>
        <w:t>三、風險</w:t>
      </w:r>
    </w:p>
    <w:p>
      <w:r>
        <w:t>• 電子材料漲價趨勢若放緩，本業獲利彈性下降。</w:t>
      </w:r>
    </w:p>
    <w:p>
      <w:r>
        <w:t>• 業外獲利占比過半，受記憶體與石化景氣波動影響。</w:t>
      </w:r>
    </w:p>
    <w:p>
      <w:r>
        <w:t>• 股價一年多漲近 12 倍，評價已反映部分利多。</w:t>
      </w:r>
    </w:p>
    <w:p>
      <w:r>
        <w:rPr>
          <w:b/>
        </w:rPr>
        <w:t>四、來源連結</w:t>
      </w:r>
    </w:p>
    <w:p>
      <w:r>
        <w:t>• 工商時報｜10／7盤中熱門焦點股（高階材料訂單爆發 南亞狂飆近12倍還能買？）（10/07 11:51）　https://www.ctee.com.tw/news/20261007700988-430201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