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261001｜高盛｜台燿6274</w:t>
      </w:r>
    </w:p>
    <w:p>
      <w:r>
        <w:rPr>
          <w:rFonts w:ascii="Microsoft JhengHei" w:hAnsi="Microsoft JhengHei" w:eastAsia="Microsoft JhengHei"/>
          <w:b w:val="0"/>
        </w:rPr>
        <w:t>台燿（6274）｜高盛 Goldman Sachs　觀點摘要</w:t>
      </w:r>
    </w:p>
    <w:p>
      <w:r>
        <w:rPr>
          <w:rFonts w:ascii="Microsoft JhengHei" w:hAnsi="Microsoft JhengHei" w:eastAsia="Microsoft JhengHei"/>
          <w:b w:val="0"/>
        </w:rPr>
        <w:t>2026/10/01 03:00 發布　｜　高盛 Goldman Sachs　｜　電子零組件－CCL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 Goldman Sachs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2026/10/01（新聞發布 03:00）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正向（原文未載評等名稱）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3,010 元（推測合理股價；前值待確認）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電子零組件－CCL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高盛預估台燿今年 EPS 大增至 38.63 元，2027 年跳增至 97.22 元，並給予 3,010 元合理股價。</w:t>
      </w:r>
    </w:p>
    <w:p>
      <w:r>
        <w:rPr>
          <w:rFonts w:ascii="Microsoft JhengHei" w:hAnsi="Microsoft JhengHei" w:eastAsia="Microsoft JhengHei"/>
          <w:b w:val="0"/>
        </w:rPr>
        <w:t>• 同篇報導指聯茂（6213）8 月稅後純益 9.24 億元、年增 852.58%、EPS 2.54 元，反映伺服器與通訊基礎建設帶動 CCL 需求強勁，外資認為對台光電、台燿前景為正面訊號。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獲利預估大幅成長，仰賴 AI 伺服器與高階 CCL 需求持續，需求放緩或規格變動將影響預期。</w:t>
      </w:r>
    </w:p>
    <w:p>
      <w:r>
        <w:rPr>
          <w:rFonts w:ascii="Microsoft JhengHei" w:hAnsi="Microsoft JhengHei" w:eastAsia="Microsoft JhengHei"/>
          <w:b w:val="0"/>
        </w:rPr>
        <w:t>• 原文未載評等名稱與前次目標價，本摘要依新聞轉述，完整假設未載。</w:t>
      </w:r>
    </w:p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  <w:b w:val="0"/>
        </w:rPr>
        <w:t>工商時報｜聯茂夠利 外資看多2檔CCL股（10/01 03:00）（https://www.ctee.com.tw/news/20261001700245-430201）</w:t>
      </w:r>
    </w:p>
    <w:p>
      <w:r>
        <w:rPr>
          <w:rFonts w:ascii="Microsoft JhengHei" w:hAnsi="Microsoft JhengHei" w:eastAsia="Microsoft JhengHei"/>
          <w:b w:val="0"/>
        </w:rP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