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券商</w:t>
            </w:r>
          </w:p>
        </w:tc>
        <w:tc>
          <w:tcPr>
            <w:tcW w:type="dxa" w:w="1728"/>
          </w:tcPr>
          <w:p>
            <w:r>
              <w:t>類型</w:t>
            </w:r>
          </w:p>
        </w:tc>
        <w:tc>
          <w:tcPr>
            <w:tcW w:type="dxa" w:w="1728"/>
          </w:tcPr>
          <w:p>
            <w:r>
              <w:t>評等</w:t>
            </w:r>
          </w:p>
        </w:tc>
        <w:tc>
          <w:tcPr>
            <w:tcW w:type="dxa" w:w="1728"/>
          </w:tcPr>
          <w:p>
            <w:r>
              <w:t>目標價（新／舊）</w:t>
            </w:r>
          </w:p>
        </w:tc>
        <w:tc>
          <w:tcPr>
            <w:tcW w:type="dxa" w:w="1728"/>
          </w:tcPr>
          <w:p>
            <w:r>
              <w:t>日期／來源</w:t>
            </w:r>
          </w:p>
        </w:tc>
      </w:tr>
      <w:tr>
        <w:tc>
          <w:tcPr>
            <w:tcW w:type="dxa" w:w="1728"/>
          </w:tcPr>
          <w:p>
            <w:r>
              <w:t>瑞銀 UBS</w:t>
            </w:r>
          </w:p>
        </w:tc>
        <w:tc>
          <w:tcPr>
            <w:tcW w:type="dxa" w:w="1728"/>
          </w:tcPr>
          <w:p>
            <w:r>
              <w:t>外資</w:t>
            </w:r>
          </w:p>
        </w:tc>
        <w:tc>
          <w:tcPr>
            <w:tcW w:type="dxa" w:w="1728"/>
          </w:tcPr>
          <w:p>
            <w:r>
              <w:t>賣出</w:t>
            </w:r>
          </w:p>
        </w:tc>
        <w:tc>
          <w:tcPr>
            <w:tcW w:type="dxa" w:w="1728"/>
          </w:tcPr>
          <w:p>
            <w:r>
              <w:t>★原文未載</w:t>
            </w:r>
          </w:p>
        </w:tc>
        <w:tc>
          <w:tcPr>
            <w:tcW w:type="dxa" w:w="1728"/>
          </w:tcPr>
          <w:p>
            <w:r>
              <w:t>2026/09/23 00:39｜經濟日報</w:t>
            </w:r>
          </w:p>
        </w:tc>
      </w:tr>
    </w:tbl>
    <w:p>
      <w:pPr>
        <w:pStyle w:val="Heading2"/>
      </w:pPr>
      <w:r>
        <w:t>論點</w:t>
      </w:r>
    </w:p>
    <w:p>
      <w:r>
        <w:t>• 瑞銀「智慧型手機產業」報告認為記憶體價格與供應將在 2027 年持續壓抑手機產業，2027 年全球手機出貨預估下修至 11.1 億支（年減 3%，原估 11.6 億支），2028 年 11.3 億支（年增 2%），2026 年維持 11.4 億支（年減 10%）。</w:t>
      </w:r>
    </w:p>
    <w:p>
      <w:r>
        <w:t>• 預估今年第四季記憶體占旗艦與高階手機物料成本比重升至 35%、低階產品 56%，成本上升壓迫 OEM 利潤、售價調漲恐再壓需求。</w:t>
      </w:r>
    </w:p>
    <w:p>
      <w:r>
        <w:t>• 同份報告對台廠給予台積電、聯發科、日月光投控、鴻海「買進」，對大立光維持謹慎、給予「賣出」。</w:t>
      </w:r>
    </w:p>
    <w:p>
      <w:pPr>
        <w:pStyle w:val="Heading2"/>
      </w:pPr>
      <w:r>
        <w:t>風險（對本評等的反向因素）</w:t>
      </w:r>
    </w:p>
    <w:p>
      <w:r>
        <w:t>• 蘋果與三星高階機型具韌性，瑞銀預期 2027 年對蘋果仍是強勁一年，iPhone 鏈需求若優於預期，可能與「賣出」評等方向相左。</w:t>
      </w:r>
    </w:p>
    <w:p>
      <w:r>
        <w:t>• 大立光於 CPO 等新應用的進展（先前其他外資曾提及）原文未討論。</w:t>
      </w:r>
    </w:p>
    <w:p>
      <w:pPr>
        <w:pStyle w:val="Heading2"/>
      </w:pPr>
      <w:r>
        <w:t>來源</w:t>
      </w:r>
    </w:p>
    <w:p>
      <w:r>
        <w:t>經濟日報（魏興中）｜手機鏈四強 外資喊買（09/23 00:39） https://money.udn.com/money/story/5607/9771321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