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260923｜美系外資｜廣達2382</w:t>
      </w:r>
    </w:p>
    <w:p>
      <w:pPr>
        <w:pStyle w:val="Heading2"/>
      </w:pPr>
      <w:r>
        <w:t>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類型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目標價（新／舊）</w:t>
            </w:r>
          </w:p>
        </w:tc>
        <w:tc>
          <w:tcPr>
            <w:tcW w:type="dxa" w:w="1440"/>
          </w:tcPr>
          <w:p>
            <w:r>
              <w:t>EPS 預估 2026/27/28</w:t>
            </w:r>
          </w:p>
        </w:tc>
        <w:tc>
          <w:tcPr>
            <w:tcW w:type="dxa" w:w="1440"/>
          </w:tcPr>
          <w:p>
            <w:r>
              <w:t>日期／來源</w:t>
            </w:r>
          </w:p>
        </w:tc>
      </w:tr>
      <w:tr>
        <w:tc>
          <w:tcPr>
            <w:tcW w:type="dxa" w:w="1440"/>
          </w:tcPr>
          <w:p>
            <w:r>
              <w:t>美系外資（★原文未具名；經濟日報同日稿提及高盛看廣達，是否同一份待確認）</w:t>
            </w:r>
          </w:p>
        </w:tc>
        <w:tc>
          <w:tcPr>
            <w:tcW w:type="dxa" w:w="1440"/>
          </w:tcPr>
          <w:p>
            <w:r>
              <w:t>外資</w:t>
            </w:r>
          </w:p>
        </w:tc>
        <w:tc>
          <w:tcPr>
            <w:tcW w:type="dxa" w:w="1440"/>
          </w:tcPr>
          <w:p>
            <w:r>
              <w:t>中立（維持）</w:t>
            </w:r>
          </w:p>
        </w:tc>
        <w:tc>
          <w:tcPr>
            <w:tcW w:type="dxa" w:w="1440"/>
          </w:tcPr>
          <w:p>
            <w:r>
              <w:t>299 元（維持不變）</w:t>
            </w:r>
          </w:p>
        </w:tc>
        <w:tc>
          <w:tcPr>
            <w:tcW w:type="dxa" w:w="1440"/>
          </w:tcPr>
          <w:p>
            <w:r>
              <w:t>27.64／29.32／33.06 元（上調）</w:t>
            </w:r>
          </w:p>
        </w:tc>
        <w:tc>
          <w:tcPr>
            <w:tcW w:type="dxa" w:w="1440"/>
          </w:tcPr>
          <w:p>
            <w:r>
              <w:t>2026/09/22 12:10｜時報資訊</w:t>
            </w:r>
          </w:p>
        </w:tc>
      </w:tr>
    </w:tbl>
    <w:p>
      <w:pPr>
        <w:pStyle w:val="Heading2"/>
      </w:pPr>
      <w:r>
        <w:t>論點</w:t>
      </w:r>
    </w:p>
    <w:p>
      <w:r>
        <w:t>• 7、8 月 PC 出貨年減 30%、37%，反映上半年提前拉貨與零組件漲價，PC 出貨轉弱；預估第三、四季營收各季增約 2%。</w:t>
      </w:r>
    </w:p>
    <w:p>
      <w:r>
        <w:t>• 新一代 AI 伺服器機櫃產能爬坡，10～12 月營收逐月成長，預估 12 月營收月增 54%；GPU 與 ASIC 伺服器需求強，也帶動通用伺服器。</w:t>
      </w:r>
    </w:p>
    <w:p>
      <w:r>
        <w:t>• 資本支出維持高檔：2026、2027 年估 440 億、320 億元（2025 年約 150 億）；9 月於美國租賃 19.9 萬平方英尺廠房。</w:t>
      </w:r>
    </w:p>
    <w:p>
      <w:r>
        <w:t>• 淨利預估 2026～2028 年上調 6%／3%／2%；目標本益比由 11 倍調為 2027 年 EPS 的 10.7 倍，目標價維持 299 元。</w:t>
      </w:r>
    </w:p>
    <w:p>
      <w:pPr>
        <w:pStyle w:val="Heading2"/>
      </w:pPr>
      <w:r>
        <w:t>風險</w:t>
      </w:r>
    </w:p>
    <w:p>
      <w:r>
        <w:t>• AI 伺服器機櫃毛利率低於其他產品，出貨占比提高將壓低綜合毛利率。</w:t>
      </w:r>
    </w:p>
    <w:p>
      <w:r>
        <w:t>• PC 需求在提前拉貨後轉弱；AI 機櫃處產品世代轉換期。</w:t>
      </w:r>
    </w:p>
    <w:p>
      <w:pPr>
        <w:pStyle w:val="Heading2"/>
      </w:pPr>
      <w:r>
        <w:t>來源</w:t>
      </w:r>
    </w:p>
    <w:p>
      <w:r>
        <w:t>時報資訊（張佳琪）｜《電週邊》廣達新世代AI伺服器助攻 外資上調2026至2028年EPS（09/22 12:10） https://www.chinatimes.com/realtimenews/20260922002409-260410</w:t>
      </w:r>
    </w:p>
    <w:p>
      <w:r>
        <w:t>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