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260929｜瑞銀｜南亞1303</w:t>
      </w:r>
    </w:p>
    <w:p>
      <w:r>
        <w:t>南亞（1303）｜瑞銀證券 UBS　觀點摘要</w:t>
      </w:r>
    </w:p>
    <w:p>
      <w:r>
        <w:t>2026/09/29 17:17 發布　｜　瑞銀證券 UBS　｜　塑化－CCL／電子材料</w:t>
      </w:r>
    </w:p>
    <w:p>
      <w: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瑞銀證券 UBS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2026/09/29（新聞發布 17:17）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買進（升評）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300 元（前值 30 元）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塑化－CCL／電子材料</w:t>
            </w:r>
          </w:p>
        </w:tc>
      </w:tr>
    </w:tbl>
    <w:p>
      <w:r>
        <w:t>二、論點</w:t>
      </w:r>
    </w:p>
    <w:p>
      <w:r>
        <w:t>• 石化：預計乙二醇（MEG）與乙烯利差於 2026 年第 3 季轉正，2026–2027 年利差受地緣政治導致的供給緊縮支撐。</w:t>
      </w:r>
    </w:p>
    <w:p>
      <w:r>
        <w:t>• 銅箔基板（CCL）：供給端主導漲價、高毛利 AI 產品組合與集團垂直整合 CCL 價值鏈；瑞銀預估 CCL 今明年平均售價分別成長 90% 與 85%。</w:t>
      </w:r>
    </w:p>
    <w:p>
      <w:r>
        <w:t>• 預估今年 EPS 13.71 元、明年 20.02 元，評等升至「買進」，目標價由 30 元升至 300 元。</w:t>
      </w:r>
    </w:p>
    <w:p>
      <w:r>
        <w:t>三、風險</w:t>
      </w:r>
    </w:p>
    <w:p>
      <w:r>
        <w:t>• CCL 漲價幅度與 AI 需求不如預期。</w:t>
      </w:r>
    </w:p>
    <w:p>
      <w:r>
        <w:t>• 石化利差回落；原料價格波動。</w:t>
      </w:r>
    </w:p>
    <w:p>
      <w:r>
        <w:t>• 本摘要依新聞轉述，報告原始發布日與完整假設未載。</w:t>
      </w:r>
    </w:p>
    <w:p>
      <w:r>
        <w:t>四、來源</w:t>
      </w:r>
    </w:p>
    <w:p>
      <w:r>
        <w:t>經濟日報／聯合新聞網｜大盤回檔塑化獨強！外資重磅叫「買」、並大升這二檔塑化股目標價（09/29 17:17）（https://udn.com/news/story/7251/9783878）</w:t>
      </w:r>
    </w:p>
    <w:p>
      <w:r>
        <w:t>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