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260929｜花旗｜台塑化6505</w:t>
      </w:r>
    </w:p>
    <w:p>
      <w:r>
        <w:t>台塑化（6505）｜花旗環球證券 Citi　觀點摘要</w:t>
      </w:r>
    </w:p>
    <w:p>
      <w:r>
        <w:t>2026/09/29 17:17 發布　｜　花旗環球證券 Citi　｜　塑化－煉油</w:t>
      </w:r>
    </w:p>
    <w:p>
      <w: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花旗環球證券 Citi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2026/09/29（新聞發布 17:17）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買進（調升評等）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108 元（前值 40 元）；樂觀情境 116 元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塑化－煉油</w:t>
            </w:r>
          </w:p>
        </w:tc>
      </w:tr>
    </w:tbl>
    <w:p>
      <w:r>
        <w:t>二、論點</w:t>
      </w:r>
    </w:p>
    <w:p>
      <w:r>
        <w:t>• 自有 VLCC 船隊涵蓋約 60%–70% 原油運輸需求，緩衝運費飆漲；柴油出口比例約 85%，受惠新加坡油品利差強勁。</w:t>
      </w:r>
    </w:p>
    <w:p>
      <w:r>
        <w:t>• 假設油價每桶 100 美元維持至第 4 季末，下半年國內凍漲造成的煉油利差損失可由出口高利差彌補；預估 2026–2027 年股息殖利率 7%–8%，為台塑四寶最高。</w:t>
      </w:r>
    </w:p>
    <w:p>
      <w:r>
        <w:t>• 2027 年起部分轉用乙烷進料，提升輕油裂解廠稼動率；花旗預估今年 EPS 由去年 1.04 元增至 8.22 元（年增約 6.9 倍）。</w:t>
      </w:r>
    </w:p>
    <w:p>
      <w:r>
        <w:t>三、風險</w:t>
      </w:r>
    </w:p>
    <w:p>
      <w:r>
        <w:t>• 國際油價與運費大幅波動；國內油價凍漲政策延長。</w:t>
      </w:r>
    </w:p>
    <w:p>
      <w:r>
        <w:t>• 煉油利差反轉、烯烴需求不如預期。</w:t>
      </w:r>
    </w:p>
    <w:p>
      <w:r>
        <w:t>• 本摘要依新聞轉述，報告原始發布日與完整假設未載。</w:t>
      </w:r>
    </w:p>
    <w:p>
      <w:r>
        <w:t>四、來源</w:t>
      </w:r>
    </w:p>
    <w:p>
      <w:r>
        <w:t>經濟日報／聯合新聞網｜大盤回檔塑化獨強！外資重磅叫「買」、並大升這二檔塑化股目標價（09/29 17:17）（https://udn.com/news/story/7251/9783878）</w:t>
      </w:r>
    </w:p>
    <w:p>
      <w:r>
        <w:t>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