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261006｜野村證券｜玉晶光3406</w:t>
      </w:r>
    </w:p>
    <w:p>
      <w:r>
        <w:rPr>
          <w:b/>
        </w:rPr>
        <w:t>玉晶光(3406)　野村證券 Nomura：買進（重申），目標價 1,415 元（前值 568 元）</w:t>
      </w:r>
    </w:p>
    <w:p>
      <w:r>
        <w:rPr>
          <w:b w:val="0"/>
        </w:rPr>
        <w:t>資料日期：2026-10-06（見報 10/06 16:07）　｜　盤後場次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野村證券 Nomura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1,415 元（前值 568 元）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評價基礎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2028 財年預估 EPS 56.61 元 × 25 倍本益比（目標本益比由 17 倍調升至 25 倍）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參考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相較 10/06 收盤價 1,045 元，報導稱潛在漲幅約 35%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AI 光學互連與通信（CPO FAU、被動光纖連接器）預計在未來五年改變傳統光學鏡頭產業；台灣手機鏡頭廠具高精密模具、射出成型、光學設計與主動對準等能力。</w:t>
      </w:r>
    </w:p>
    <w:p>
      <w:r>
        <w:rPr>
          <w:b w:val="0"/>
        </w:rPr>
        <w:t>• 供應鏈調查顯示玉晶光已取得被動光纖連接器套管訂單，預計 2026 年底或 2027 年初出貨；並可供應多種 CPO FAU 組件，必要時可承接 FAU 組裝。</w:t>
      </w:r>
    </w:p>
    <w:p>
      <w:r>
        <w:rPr>
          <w:b w:val="0"/>
        </w:rPr>
        <w:t>• 野村預估新業務占玉晶光獲利比重將由 2027 財年小於 3% 提升至 2028 財年 16～20%；維持蘋果第二大鏡頭供應商地位。</w:t>
      </w:r>
    </w:p>
    <w:p>
      <w:r>
        <w:rPr>
          <w:b/>
        </w:rPr>
        <w:t>三、風險</w:t>
      </w:r>
    </w:p>
    <w:p>
      <w:r>
        <w:rPr>
          <w:b w:val="0"/>
        </w:rPr>
        <w:t>• 記憶體成本上升與 iPhone Duo 排擠，野村預估 iPhone 總出貨 2026 年底至 2027 上半年減緩。</w:t>
      </w:r>
    </w:p>
    <w:p>
      <w:r>
        <w:rPr>
          <w:b w:val="0"/>
        </w:rPr>
        <w:t>• 是否成為 iPhone Pro 主鏡頭第三供應商仍不確定（野村視為潛在上行空間）；報導為東森財經轉述，完整假設以原始報告為準。</w:t>
      </w:r>
    </w:p>
    <w:p>
      <w:r>
        <w:rPr>
          <w:b/>
        </w:rPr>
        <w:t>四、來源連結</w:t>
      </w:r>
    </w:p>
    <w:p>
      <w:r>
        <w:rPr>
          <w:b w:val="0"/>
        </w:rPr>
        <w:t>• 東森新聞（東森財經）｜「鏡頭二哥」跨界CPO！ 野村目標價暴衝 潛在漲幅35%（10/06 16:07）　https://news.ebc.net.tw/news/business/574465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