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261030｜美系外資｜亞德客-KY1590</w:t>
      </w:r>
    </w:p>
    <w:p>
      <w:r>
        <w:rPr>
          <w:rFonts w:ascii="Microsoft JhengHei" w:hAnsi="Microsoft JhengHei" w:eastAsia="Microsoft JhengHei"/>
          <w:b w:val="0"/>
        </w:rPr>
        <w:t>亞德客-KY(1590)　美系外資（券商未具名）：買進（重申），目標價 1,895 元</w:t>
      </w:r>
    </w:p>
    <w:p>
      <w:r>
        <w:rPr>
          <w:rFonts w:ascii="Microsoft JhengHei" w:hAnsi="Microsoft JhengHei" w:eastAsia="Microsoft JhengHei"/>
          <w:b w:val="0"/>
        </w:rPr>
        <w:t>資料日期：2026-10-30　｜　收盤場次（10/30 13:55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美系外資（報導未具名）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電機機械－氣動元件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買進（重申）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1,895 元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亞德客第 3 季營業利益 39.04 億元、年增 59%，營業利益率 33.9%；毛利率 49.4%，較外資原估高 0.9 個百分點，但營業費用 17.78 億元高於預估。</w:t>
      </w:r>
    </w:p>
    <w:p>
      <w:r>
        <w:rPr>
          <w:rFonts w:ascii="Microsoft JhengHei" w:hAnsi="Microsoft JhengHei" w:eastAsia="Microsoft JhengHei"/>
          <w:b w:val="0"/>
        </w:rPr>
        <w:t>• 電子產業需求強勁，第 3 季營收年增 33%、占比 28%；外資預估第 4 季營收季減 1%、年增 26%，重申「買進」、目標價維持 1,895 元。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原物料成本上升；中國市場占營收逾 9 成。</w:t>
      </w:r>
    </w:p>
    <w:p>
      <w:r>
        <w:rPr>
          <w:rFonts w:ascii="Microsoft JhengHei" w:hAnsi="Microsoft JhengHei" w:eastAsia="Microsoft JhengHei"/>
          <w:b w:val="0"/>
        </w:rPr>
        <w:t>• 公司 10/30 已就工商時報法人營收推估發布澄清公告，以公司公告為準。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中時新聞網｜《電機股》美系外資重申亞德客-KY買進評等 目標價維持1,895元（10/30 10:29）　https://www.chinatimes.com/realtimenews/20261030001688-260410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