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260920｜小摩｜南亞1303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南亞(1303)　摩根大通（小摩）：優於大盤 Overweight（維持）、目標價 350 元（前值 300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 J.P. Morgan（★具名）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塑化／電子材料（銅箔基板、玻纖布）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350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300 元（上修 +16.7%）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+295.3%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小摩維持優於大盤評等並上修目標價，屬近月外資「喊買升價股」名單成員。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★本次上修之細部理由原文未載。可參照既有紀錄：法人估南亞 2027 年電子相關獲利占比升至 98%，EG 利差擴大使 Q4 獲利貢獻更明顯。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295.3%，評價修正幅度（+16.7%）明顯小於股價漲幅。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傳統塑化本業與電子材料本業的景氣循環不同步，獲利結構轉換速度為關鍵變數。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★原文未列風險章節，亦未載計價基礎，本段為一般性提醒。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小摩 2026-07-13、2026-09-15 均曾出具南亞報告；統一投顧 2026-07-15 亦有紀錄（目標價前值待確認）。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2026-09-18 南亞收 234 元一帶（★以最新收盤為準）。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260920_小摩_南亞1303.docx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