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Microsoft JhengHei" w:hAnsi="Microsoft JhengHei" w:eastAsia="Microsoft JhengHei" w:cs="Microsoft JhengHei"/>
          <w:b/>
          <w:color w:val="A98B3F"/>
          <w:sz w:val="32"/>
        </w:rPr>
        <w:t>260920｜野村｜強茂2481</w:t>
      </w:r>
    </w:p>
    <w:p>
      <w:pPr>
        <w:spacing w:after="200"/>
      </w:pPr>
      <w:r>
        <w:rPr>
          <w:rFonts w:ascii="Microsoft JhengHei" w:hAnsi="Microsoft JhengHei" w:eastAsia="Microsoft JhengHei" w:cs="Microsoft JhengHei"/>
          <w:b w:val="0"/>
          <w:color w:val="808080"/>
          <w:sz w:val="17"/>
        </w:rPr>
        <w:t>⚠ 本頁為新聞整理摘要 依公開新聞整理（來源見文末），非券商原始報告、非投資建議。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強茂(2481)　野村證券：買進 Buy（維持）、目標價 214 元（前值 195 元）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資料日期：2026-09-20　｜　早盤場次　｜　浮水印：旺來 wowwow31001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一、評等與目標價摘要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項目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內容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報告見報日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2026-09-20（經濟日報彙整近月外資報告）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券商／機構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野村證券 Nomura（★具名）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外資／內資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外資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產業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半導體－功率半導體／二極體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投資評等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買進（維持）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目標價（新）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214 元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目標價（前值）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195 元（上修 +9.7%）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今年來股價漲幅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+110.3%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資料型態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新聞報導轉述，非完整報告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二、投資論點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野村維持買進評等並上修目標價 9.7%，列入近月外資「喊買升價股」名單。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★本次上修之細部理由原文未載。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三、風險與注意事項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今年來股價已漲 110.3%，上修幅度小於股價漲幅。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功率半導體需求與電動車、工控、電源供應器景氣連動，非純 AI 題材股。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★原文未列風險章節，亦未載計價基礎。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四、與既有紀錄的對照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★本檔為 processed.csv 中首次出現的個股，無既有紀錄可對照。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五、來源連結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經濟日報（2026/09/20 02:18）Q4投資攻略來了 外資升價股聚光 頎邦、緯創等入加碼名單　https://money.udn.com/money/story/5607/9765424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※ 本摘要依公開新聞整理，非完整報告。★ 標示處為原文未載或表述模糊，未自行推定；數字不確定者已標「待確認」。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b w:val="0"/>
          <w:color w:val="808080"/>
          <w:sz w:val="17"/>
        </w:rPr>
        <w:t>Word 版下載： 260920_野村_強茂2481.docx ｜旺來 @wowwow31001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