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260920｜野村｜頎邦6147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頎邦(6147)　野村證券：買進 Buy（由「中立」調升）、目標價 270 元（前值 171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半導體－封測／驅動IC、矽光子金凸塊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買進（由中立強勢調升，本場次 9 檔中唯一評等升等）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171 元（上修 +57.9%）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+324.8%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矽光子市場需求強勁，加上新案進展，構成本次升等的主要基礎。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韓國驅動 IC（DDIC）大廠供應鏈重組，帶來「AI 漣漪效應」，訂單外溢至台系封測。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野村大幅上調財務預測：2026、2027、2028 年 EPS 分別估 5.77 元、9.04 元、10.60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324.8%，目標價 270 元對應的上檔空間須以最新股價重新計算；★原文未載計價基礎（本益比倍數）。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矽光子金凸塊與 DDIC 轉單屬新業務，量產時程與良率為主要不確定因素。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★原文未列風險章節，本段為依報導內容之一般性提醒。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投顧研究機構（★未具名）2026-09-02 初評、09-14 重申「買進」250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FactSet 共識評等日 2026-09-15：符合市場、目標價 250 → 260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 270 元高於上述兩者，為目前紀錄中最高。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共識對照）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