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上品（4770）｜法人（未具名）　觀點摘要</w:t>
      </w:r>
    </w:p>
    <w:p>
      <w:r>
        <w:t>2026/09/28 14:30 發布　｜　法人（★未具名，工商時報報導）　｜　半導體－氟素樹脂設備／高純化學品設備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★未具名法人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2026/09/28（新聞發布）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312 元（前值 待確認）</w:t>
            </w:r>
          </w:p>
        </w:tc>
      </w:tr>
      <w:tr>
        <w:tc>
          <w:tcPr>
            <w:tcW w:type="dxa" w:w="4320"/>
          </w:tcPr>
          <w:p>
            <w:r>
              <w:t>在手訂單</w:t>
            </w:r>
          </w:p>
        </w:tc>
        <w:tc>
          <w:tcPr>
            <w:tcW w:type="dxa" w:w="4320"/>
          </w:tcPr>
          <w:p>
            <w:r>
              <w:t>75 億元（年初 38 億元），能見度逾一年</w:t>
            </w:r>
          </w:p>
        </w:tc>
      </w:tr>
    </w:tbl>
    <w:p>
      <w:r>
        <w:rPr>
          <w:b/>
        </w:rPr>
        <w:t>二、論點</w:t>
      </w:r>
    </w:p>
    <w:p>
      <w:r>
        <w:t>• 全球半導體進入擴廠循環，晶圓廠、先進封裝與化學品供應鏈同步擴建，帶動高純度化學品儲存、純化、輸送設備需求。</w:t>
      </w:r>
    </w:p>
    <w:p>
      <w:r>
        <w:t>• 產品自製率 80～90%，主要競爭者僅兩家日商且合計市占不到上品一半。</w:t>
      </w:r>
    </w:p>
    <w:p>
      <w:r>
        <w:t>• 毛利率自 25～30% 低點回升，2026 上半年整體 35.3%；低毛利舊單消化後新單毛利率可望改善。</w:t>
      </w:r>
    </w:p>
    <w:p>
      <w:r>
        <w:t>• 內襯設備新廠 2026 年底開始貢獻，2027 年產能約增 20%，今年 Q4 至明年 Q1 為營運拉升階段。</w:t>
      </w:r>
    </w:p>
    <w:p>
      <w:r>
        <w:rPr>
          <w:b/>
        </w:rPr>
        <w:t>三、風險</w:t>
      </w:r>
    </w:p>
    <w:p>
      <w:r>
        <w:t>• 現有產線 2027 年滿載，擴產需同步增加設備、空間與技術人力，下游金屬加工供應鏈能否跟上。</w:t>
      </w:r>
    </w:p>
    <w:p>
      <w:r>
        <w:t>• 中國市場競爭內捲、半導體資本支出循環變化。</w:t>
      </w:r>
    </w:p>
    <w:p>
      <w:r>
        <w:rPr>
          <w:b/>
        </w:rPr>
        <w:t>四、來源</w:t>
      </w:r>
    </w:p>
    <w:p>
      <w:r>
        <w:t>工商時報｜半導體迎百年一遇擴產潮！法人喊買這家特化廠 在手訂單暴增近倍（09/28 14:30）（https://www.ctee.com.tw/news/20260928700475-430201）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