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261006｜法人未具名｜南亞1303</w:t>
      </w:r>
    </w:p>
    <w:p>
      <w:r>
        <w:rPr>
          <w:b/>
        </w:rPr>
        <w:t>南亞（1303）　法人（未具名）：玻纖布、銅箔與 CCL 漲價效益延續，買進、目標價 310 元</w:t>
      </w:r>
    </w:p>
    <w:p>
      <w:r>
        <w:rPr>
          <w:b w:val="0"/>
        </w:rPr>
        <w:t>2026/10/06　夜間場次　｜　產業：塑化－CCL／電子材料　｜　10/06 收 293 元（+2.45%，鉅亨網）</w:t>
      </w:r>
    </w:p>
    <w:p>
      <w:r>
        <w:rPr>
          <w:b w:val="0"/>
        </w:rPr>
        <w:t>整理：旺來 wowwow31001</w:t>
      </w:r>
    </w:p>
    <w:p>
      <w:r>
        <w:rPr>
          <w:b/>
        </w:rPr>
        <w:t>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券商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評等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目標價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前值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EPS 預估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★未具名（新聞稱「法人」）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買進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310 元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待確認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2026 年 12.95 元／2027 年 17.25 元</w:t>
            </w:r>
          </w:p>
        </w:tc>
      </w:tr>
    </w:tbl>
    <w:p>
      <w:r>
        <w:rPr>
          <w:b/>
        </w:rPr>
        <w:t>論點</w:t>
      </w:r>
    </w:p>
    <w:p>
      <w:r>
        <w:rPr>
          <w:b w:val="0"/>
        </w:rPr>
        <w:t>• 南亞攜手玻纖布大廠日東紡互惠合作，轉投資南電、南亞科亦有成。</w:t>
      </w:r>
    </w:p>
    <w:p>
      <w:r>
        <w:rPr>
          <w:b w:val="0"/>
        </w:rPr>
        <w:t>• 法人看好玻纖布、銅箔與 CCL 漲價效益延續，預估 2026、2027 年 EPS 分別 12.95 元、17.25 元。</w:t>
      </w:r>
    </w:p>
    <w:p>
      <w:r>
        <w:rPr>
          <w:b w:val="0"/>
        </w:rPr>
        <w:t>• 籌碼面：10/06 投信買超 3,486 張居冠，三大法人連 2 買。</w:t>
      </w:r>
    </w:p>
    <w:p>
      <w:r>
        <w:rPr>
          <w:b/>
        </w:rPr>
        <w:t>風險與疑點</w:t>
      </w:r>
    </w:p>
    <w:p>
      <w:r>
        <w:rPr>
          <w:b w:val="0"/>
        </w:rPr>
        <w:t>• 新聞未具名出具機構，亦未載目標價前值；先前已有瑞銀 300 元、本土投顧 320 元、麥格理 424 元等觀點。</w:t>
      </w:r>
    </w:p>
    <w:p>
      <w:r>
        <w:rPr>
          <w:b w:val="0"/>
        </w:rPr>
        <w:t>• 電子材料漲價持續性與塑化本業景氣仍是變數。</w:t>
      </w:r>
    </w:p>
    <w:p>
      <w:r>
        <w:rPr>
          <w:b/>
        </w:rPr>
        <w:t>來源連結</w:t>
      </w:r>
    </w:p>
    <w:p>
      <w:r>
        <w:rPr>
          <w:b w:val="0"/>
        </w:rPr>
        <w:t>• FTNN 新聞網（10/06 19:00）：https://www.ftnn.com.tw/news/585082</w:t>
      </w:r>
    </w:p>
    <w:p>
      <w:r>
        <w:rPr>
          <w:b w:val="0"/>
        </w:rPr>
        <w:t>• FTNN 新聞網｜AI光通訊＋手機大拉貨帶旺！華通Q3營收創高引三大法人投3.1萬張居冠（10/06 21:00）：https://www.ftnn.com.tw/news/585103</w:t>
      </w:r>
    </w:p>
    <w:p>
      <w:r>
        <w:rPr>
          <w:b w:val="0"/>
        </w:rPr>
        <w:t>本摘要依公開新聞整理，非完整報告。數字不確定者標「待確認」。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