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sz w:val="30"/>
        </w:rPr>
        <w:t>聯發科（2454）花旗報告摘要　2026/09/21</w:t>
      </w:r>
    </w:p>
    <w:p>
      <w:r>
        <w:t>2026/09/21 17:36 發布　｜　外資 花旗 Citi（分析師陳佳儀·具名）　｜　IC 設計－ASIC／手機晶片</w:t>
      </w:r>
    </w:p>
    <w:p>
      <w:r>
        <w:rPr>
          <w:rFonts w:ascii="Microsoft JhengHei" w:hAnsi="Microsoft JhengHei"/>
          <w:b/>
          <w:color w:val="A98B3F"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花旗 Citi（Citigroup）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分析師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陳佳儀（半導體產業分析師·具名）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報告名稱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台灣半導體產業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2026/09/21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買進（Buy）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前值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報告性質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/>
                <w:sz w:val="19"/>
              </w:rPr>
              <w:t>赴美路演（Roadshow）後之投資人反饋整理與產業展望</w:t>
            </w:r>
          </w:p>
        </w:tc>
      </w:tr>
    </w:tbl>
    <w:p/>
    <w:p>
      <w:r>
        <w:rPr>
          <w:rFonts w:ascii="Microsoft JhengHei" w:hAnsi="Microsoft JhengHei"/>
          <w:b/>
          <w:color w:val="A98B3F"/>
          <w:sz w:val="24"/>
        </w:rPr>
        <w:t>二、論點</w:t>
      </w:r>
    </w:p>
    <w:p>
      <w:r>
        <w:t>• 花旗指出，聯發科在 Google TPU 生態系中的角色顯著提升。</w:t>
      </w:r>
    </w:p>
    <w:p>
      <w:r>
        <w:t>• TPU v8 世代，聯發科主要負責輸出入（I/O）、序列器／解序列器（SerDes）與晶圓處理；下世代將擴展至部分計算（compute）。</w:t>
      </w:r>
    </w:p>
    <w:p>
      <w:r>
        <w:t>• 先進製程大幅提升單一裝置的美元價值，使聯發科的收入成長遠快於單位出貨量成長。</w:t>
      </w:r>
    </w:p>
    <w:p>
      <w:r>
        <w:t>• 股價背景：聯發科 09/21 終場收 5,010 元、+6.37%，站上 5,000 元創歷史新高，市值衝破 8 兆元。</w:t>
      </w:r>
    </w:p>
    <w:p>
      <w:r>
        <w:rPr>
          <w:rFonts w:ascii="Microsoft JhengHei" w:hAnsi="Microsoft JhengHei"/>
          <w:b/>
          <w:color w:val="A98B3F"/>
          <w:sz w:val="24"/>
        </w:rPr>
        <w:t>三、風險</w:t>
      </w:r>
    </w:p>
    <w:p>
      <w:r>
        <w:t>• ASIC 業務高度集中於單一雲端客戶的 TPU 專案，客戶策略或供應商分配調整的影響較大。</w:t>
      </w:r>
    </w:p>
    <w:p>
      <w:r>
        <w:t>• 股價已於 09/21 創歷史新高，評價面對利多消化的敏感度提高。</w:t>
      </w:r>
    </w:p>
    <w:p>
      <w:r>
        <w:t>• 花旗本次報告原文未載各檔目標價數字，本站僅記錄「買進」評等，目標價列為未揭露。</w:t>
      </w:r>
    </w:p>
    <w:p>
      <w:r>
        <w:t>• 報告核心問題已轉為「雲端巨頭的資本支出與 AI 模型變現能力，能否維持正被討論的巨大基礎設施投入」；若 CSP 資本支出或 AI 變現進度不如預期，整體評價基礎將受影響。</w:t>
      </w:r>
    </w:p>
    <w:p>
      <w:r>
        <w:t>• 同日摩根士丹利示警標普 500 短線恐下跌多達 7%，若美股評價修正，台股 AI 權值股難以完全脫鉤。</w:t>
      </w:r>
    </w:p>
    <w:p>
      <w:r>
        <w:rPr>
          <w:rFonts w:ascii="Microsoft JhengHei" w:hAnsi="Microsoft JhengHei"/>
          <w:b/>
          <w:color w:val="A98B3F"/>
          <w:sz w:val="24"/>
        </w:rPr>
        <w:t>資料來源</w:t>
      </w:r>
    </w:p>
    <w:p>
      <w:r>
        <w:t>• 經濟日報｜2028 年後 AI 怎麼走？花旗大爆料 四大台廠稱霸下一波浪潮（2026/09/21 17:36）　https://money.udn.com/money/story/5607/9768614</w:t>
      </w:r>
    </w:p>
    <w:p>
      <w: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