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JhengHei" w:hAnsi="Microsoft JhengHei" w:eastAsia="Microsoft JhengHei"/>
          <w:b/>
          <w:sz w:val="28"/>
        </w:rPr>
        <w:t>261029｜花旗環球｜聯電2303</w:t>
      </w:r>
    </w:p>
    <w:p>
      <w:r>
        <w:rPr>
          <w:rFonts w:ascii="Microsoft JhengHei" w:hAnsi="Microsoft JhengHei" w:eastAsia="Microsoft JhengHei"/>
          <w:b w:val="0"/>
        </w:rPr>
        <w:t>聯電(2303)　花旗環球 Citi：買進（維持），目標價 143 元</w:t>
      </w:r>
    </w:p>
    <w:p>
      <w:r>
        <w:rPr>
          <w:rFonts w:ascii="Microsoft JhengHei" w:hAnsi="Microsoft JhengHei" w:eastAsia="Microsoft JhengHei"/>
          <w:b w:val="0"/>
        </w:rPr>
        <w:t>資料日期：2026-10-29　｜　夜間場次（10/30 收錄）　｜　浮水印：旺來 wowwow31001</w:t>
      </w:r>
    </w:p>
    <w:p>
      <w:r>
        <w:rPr>
          <w:rFonts w:ascii="Microsoft JhengHei" w:hAnsi="Microsoft JhengHei" w:eastAsia="Microsoft JhengHei"/>
          <w:b/>
        </w:rPr>
        <w:t>一、評等／目標價摘要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項目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內容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券商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花旗環球 Citi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類別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外資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產業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半導體－晶圓代工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評等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買進（維持）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目標價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143 元</w:t>
            </w:r>
          </w:p>
        </w:tc>
      </w:tr>
    </w:tbl>
    <w:p>
      <w:r>
        <w:rPr>
          <w:rFonts w:ascii="Microsoft JhengHei" w:hAnsi="Microsoft JhengHei" w:eastAsia="Microsoft JhengHei"/>
          <w:b/>
        </w:rPr>
        <w:t>二、論點</w:t>
      </w:r>
    </w:p>
    <w:p>
      <w:r>
        <w:rPr>
          <w:rFonts w:ascii="Microsoft JhengHei" w:hAnsi="Microsoft JhengHei" w:eastAsia="Microsoft JhengHei"/>
          <w:b w:val="0"/>
        </w:rPr>
        <w:t>• 考量消費性需求疲弱與供應鏈交期拉長可能使新產能延後，下修 2027、2028 年 EPS 預估 10%、8%。</w:t>
      </w:r>
    </w:p>
    <w:p>
      <w:r>
        <w:rPr>
          <w:rFonts w:ascii="Microsoft JhengHei" w:hAnsi="Microsoft JhengHei" w:eastAsia="Microsoft JhengHei"/>
          <w:b w:val="0"/>
        </w:rPr>
        <w:t>• 看好產能利用率與價格走勢改善及長期 AI 成長潛力，評價基礎由 2027 年 15 倍改採 2027～2028 年 18 倍本益比。</w:t>
      </w:r>
    </w:p>
    <w:p>
      <w:r>
        <w:rPr>
          <w:rFonts w:ascii="Microsoft JhengHei" w:hAnsi="Microsoft JhengHei" w:eastAsia="Microsoft JhengHei"/>
          <w:b/>
        </w:rPr>
        <w:t>三、風險</w:t>
      </w:r>
    </w:p>
    <w:p>
      <w:r>
        <w:rPr>
          <w:rFonts w:ascii="Microsoft JhengHei" w:hAnsi="Microsoft JhengHei" w:eastAsia="Microsoft JhengHei"/>
          <w:b w:val="0"/>
        </w:rPr>
        <w:t>• 消費性需求持續疲弱。</w:t>
      </w:r>
    </w:p>
    <w:p>
      <w:r>
        <w:rPr>
          <w:rFonts w:ascii="Microsoft JhengHei" w:hAnsi="Microsoft JhengHei" w:eastAsia="Microsoft JhengHei"/>
          <w:b w:val="0"/>
        </w:rPr>
        <w:t>• 新產能開出時程可能因設備交期拉長而延後。</w:t>
      </w:r>
    </w:p>
    <w:p>
      <w:r>
        <w:rPr>
          <w:rFonts w:ascii="Microsoft JhengHei" w:hAnsi="Microsoft JhengHei" w:eastAsia="Microsoft JhengHei"/>
          <w:b/>
        </w:rPr>
        <w:t>四、來源連結</w:t>
      </w:r>
    </w:p>
    <w:p>
      <w:r>
        <w:rPr>
          <w:rFonts w:ascii="Microsoft JhengHei" w:hAnsi="Microsoft JhengHei" w:eastAsia="Microsoft JhengHei"/>
          <w:b w:val="0"/>
        </w:rPr>
        <w:t>• 工商時報｜聯電(2303)急殺跌停！外資看法分歧 目標價 135 至 200 元（10/29 13:09）　https://www.chinatimes.com/realtimenews/20261029002526-260410</w:t>
      </w:r>
    </w:p>
    <w:p>
      <w:r>
        <w:rPr>
          <w:rFonts w:ascii="Microsoft JhengHei" w:hAnsi="Microsoft JhengHei" w:eastAsia="Microsoft JhengHei"/>
          <w:b w:val="0"/>
        </w:rPr>
        <w:t>※ 本摘要依公開新聞整理，非完整報告。</w:t>
      </w:r>
    </w:p>
    <w:sectPr w:rsidR="00FC693F" w:rsidRPr="0006063C" w:rsidSect="00034616">
      <w:headerReference w:type="default" r:id="rId9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