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260925｜法人｜日月光投控3711</w:t>
      </w:r>
    </w:p>
    <w:p>
      <w:r>
        <w:t>日月光投控（3711）｜法人　觀點摘要</w:t>
      </w:r>
    </w:p>
    <w:p>
      <w:r>
        <w:t>2026/09/25 02:00（08:06 更新） 發布　｜　法人（★未具名）　｜　半導體－封測／先進封裝</w:t>
      </w:r>
    </w:p>
    <w:p>
      <w:r>
        <w:rPr>
          <w:b/>
          <w:sz w:val="24"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內容</w:t>
            </w:r>
          </w:p>
        </w:tc>
      </w:tr>
      <w:tr>
        <w:tc>
          <w:tcPr>
            <w:tcW w:type="dxa" w:w="4320"/>
          </w:tcPr>
          <w:p>
            <w:r>
              <w:t>券商</w:t>
            </w:r>
          </w:p>
        </w:tc>
        <w:tc>
          <w:tcPr>
            <w:tcW w:type="dxa" w:w="4320"/>
          </w:tcPr>
          <w:p>
            <w:r>
              <w:t>法人（★未具名）</w:t>
            </w:r>
          </w:p>
        </w:tc>
      </w:tr>
      <w:tr>
        <w:tc>
          <w:tcPr>
            <w:tcW w:type="dxa" w:w="4320"/>
          </w:tcPr>
          <w:p>
            <w:r>
              <w:t>外資／內資</w:t>
            </w:r>
          </w:p>
        </w:tc>
        <w:tc>
          <w:tcPr>
            <w:tcW w:type="dxa" w:w="4320"/>
          </w:tcPr>
          <w:p>
            <w:r>
              <w:t>★未載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>
              <w:t>2026/09/25 02:00（08:06 更新）（新聞發布）</w:t>
            </w:r>
          </w:p>
        </w:tc>
      </w:tr>
      <w:tr>
        <w:tc>
          <w:tcPr>
            <w:tcW w:type="dxa" w:w="4320"/>
          </w:tcPr>
          <w:p>
            <w:r>
              <w:t>投資評等</w:t>
            </w:r>
          </w:p>
        </w:tc>
        <w:tc>
          <w:tcPr>
            <w:tcW w:type="dxa" w:w="4320"/>
          </w:tcPr>
          <w:p>
            <w:r>
              <w:t>買進（維持）</w:t>
            </w:r>
          </w:p>
        </w:tc>
      </w:tr>
      <w:tr>
        <w:tc>
          <w:tcPr>
            <w:tcW w:type="dxa" w:w="4320"/>
          </w:tcPr>
          <w:p>
            <w:r>
              <w:t>目標價</w:t>
            </w:r>
          </w:p>
        </w:tc>
        <w:tc>
          <w:tcPr>
            <w:tcW w:type="dxa" w:w="4320"/>
          </w:tcPr>
          <w:p>
            <w:r>
              <w:t>862 元（前值 待確認）</w:t>
            </w:r>
          </w:p>
        </w:tc>
      </w:tr>
      <w:tr>
        <w:tc>
          <w:tcPr>
            <w:tcW w:type="dxa" w:w="4320"/>
          </w:tcPr>
          <w:p>
            <w:r>
              <w:t>EPS 預估</w:t>
            </w:r>
          </w:p>
        </w:tc>
        <w:tc>
          <w:tcPr>
            <w:tcW w:type="dxa" w:w="4320"/>
          </w:tcPr>
          <w:p>
            <w:r>
              <w:t>2026 年 17.95 元、2027 年 24.72 元</w:t>
            </w:r>
          </w:p>
        </w:tc>
      </w:tr>
      <w:tr>
        <w:tc>
          <w:tcPr>
            <w:tcW w:type="dxa" w:w="4320"/>
          </w:tcPr>
          <w:p>
            <w:r>
              <w:t>8 月營收</w:t>
            </w:r>
          </w:p>
        </w:tc>
        <w:tc>
          <w:tcPr>
            <w:tcW w:type="dxa" w:w="4320"/>
          </w:tcPr>
          <w:p>
            <w:r>
              <w:t>822.47 億元，月增 11.47%、年增 45.66%，創新高</w:t>
            </w:r>
          </w:p>
        </w:tc>
      </w:tr>
      <w:tr>
        <w:tc>
          <w:tcPr>
            <w:tcW w:type="dxa" w:w="4320"/>
          </w:tcPr>
          <w:p>
            <w:r>
              <w:t>參考股價</w:t>
            </w:r>
          </w:p>
        </w:tc>
        <w:tc>
          <w:tcPr>
            <w:tcW w:type="dxa" w:w="4320"/>
          </w:tcPr>
          <w:p>
            <w:r>
              <w:t>09/24 收 699 元</w:t>
            </w:r>
          </w:p>
        </w:tc>
      </w:tr>
    </w:tbl>
    <w:p>
      <w:r>
        <w:rPr>
          <w:b/>
          <w:sz w:val="24"/>
        </w:rPr>
        <w:t>二、論點</w:t>
      </w:r>
    </w:p>
    <w:p>
      <w:r>
        <w:t>• AI 與 HPC 需求強、晶片規格升級，台積電 CoWoS 產能供不應求，部分訂單外溢至日月光。</w:t>
      </w:r>
    </w:p>
    <w:p>
      <w:r>
        <w:t>• 核心客戶 AMD 新一代 CPU Venice 進入放量期，替 FoCoS 出貨注入動能，營收屢創新高氣勢可望延續。</w:t>
      </w:r>
    </w:p>
    <w:p>
      <w:r>
        <w:t>• 上半年稅後純益 352 億元、年增 133.5%，EPS 8.03 元；第 2 季 EPS 4.8 元、年增 180%。</w:t>
      </w:r>
    </w:p>
    <w:p>
      <w:r>
        <w:rPr>
          <w:b/>
          <w:sz w:val="24"/>
        </w:rPr>
        <w:t>三、風險</w:t>
      </w:r>
    </w:p>
    <w:p>
      <w:r>
        <w:t>• CoWoS 外溢訂單規模取決於台積電自身擴產進度。</w:t>
      </w:r>
    </w:p>
    <w:p>
      <w:r>
        <w:t>• 資本支出擴大（今年 15 座廠同時動工）帶來折舊壓力。</w:t>
      </w:r>
    </w:p>
    <w:p>
      <w:r>
        <w:t>• 本則為未具名法人觀點，前值目標價待確認；09/24 另有法人調高目標價但未載數字（已收錄）。</w:t>
      </w:r>
    </w:p>
    <w:p>
      <w:r>
        <w:rPr>
          <w:b/>
          <w:sz w:val="24"/>
        </w:rPr>
        <w:t>資料來源</w:t>
      </w:r>
    </w:p>
    <w:p>
      <w:r>
        <w:t>三立新聞網｜吃下台積電CoWoS外溢訂單！「這大廠」Q2獲利年增180% 目標價上看862元（2026/09/25 02:00）（https://www.setn.com/news/1912392）</w:t>
      </w:r>
    </w:p>
    <w:p>
      <w:r>
        <w:t>本摘要依公開新聞整理，非完整報告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