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個股摘要｜美系外資（未具名）｜國巨2327</w:t>
      </w:r>
    </w:p>
    <w:p>
      <w:r>
        <w:rPr>
          <w:b/>
        </w:rPr>
        <w:t>國巨(2327)　★未具名（美系外資）：買進（重申），目標價 1,450 元（前值 1,450 元）</w:t>
      </w:r>
    </w:p>
    <w:p>
      <w:r>
        <w:rPr>
          <w:b/>
        </w:rPr>
        <w:t>資料日期：2026-10-08（見報 時報資訊 10/08 11:09）　｜　盤後場次（10/08 收錄）　｜　浮水印：旺來 wowwow31001</w:t>
      </w:r>
    </w:p>
    <w:p>
      <w:r>
        <w:rPr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★未具名（新聞稱美系外資）</w:t>
            </w:r>
          </w:p>
        </w:tc>
      </w:tr>
      <w:tr>
        <w:tc>
          <w:tcPr>
            <w:tcW w:type="dxa" w:w="4320"/>
          </w:tcPr>
          <w:p>
            <w:r>
              <w:t>類別</w:t>
            </w:r>
          </w:p>
        </w:tc>
        <w:tc>
          <w:tcPr>
            <w:tcW w:type="dxa" w:w="4320"/>
          </w:tcPr>
          <w:p>
            <w:r>
              <w:t>外資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電子零組件－被動元件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買進（重申）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1,450 元（前值 1,450 元，維持）</w:t>
            </w:r>
          </w:p>
        </w:tc>
      </w:tr>
      <w:tr>
        <w:tc>
          <w:tcPr>
            <w:tcW w:type="dxa" w:w="4320"/>
          </w:tcPr>
          <w:p>
            <w:r>
              <w:t>見報</w:t>
            </w:r>
          </w:p>
        </w:tc>
        <w:tc>
          <w:tcPr>
            <w:tcW w:type="dxa" w:w="4320"/>
          </w:tcPr>
          <w:p>
            <w:r>
              <w:t>時報資訊 10/08 11:09</w:t>
            </w:r>
          </w:p>
        </w:tc>
      </w:tr>
    </w:tbl>
    <w:p>
      <w:r>
        <w:rPr>
          <w:b/>
        </w:rPr>
        <w:t>二、論點</w:t>
      </w:r>
    </w:p>
    <w:p>
      <w:r>
        <w:rPr>
          <w:b w:val="0"/>
        </w:rPr>
        <w:t>• 9 月營收約 171 億元、月增 5%、年增 46%；第三季營收約 495 億元、季增 11%、年增 50%，雙創單季新高，超越公司「溫和成長」展望，並高於該外資及市場預期約 1%～2%。</w:t>
      </w:r>
    </w:p>
    <w:p>
      <w:r>
        <w:rPr>
          <w:b w:val="0"/>
        </w:rPr>
        <w:t>• 動能來自大宗標準品與特殊利基型產品，「價量俱揚」；通路訪查顯示正逐步向客戶調整價格，第四季現貨與經銷通路的平均售價調升效益更顯著。</w:t>
      </w:r>
    </w:p>
    <w:p>
      <w:r>
        <w:rPr>
          <w:b w:val="0"/>
        </w:rPr>
        <w:t>• 產業交期拉長、長約（LTA）洽詢意願升溫，支撐被動元件基本面重回正向軌道。</w:t>
      </w:r>
    </w:p>
    <w:p>
      <w:r>
        <w:rPr>
          <w:b/>
        </w:rPr>
        <w:t>三、風險</w:t>
      </w:r>
    </w:p>
    <w:p>
      <w:r>
        <w:rPr>
          <w:b w:val="0"/>
        </w:rPr>
        <w:t>• 漲價幅度或持續性不如預期。</w:t>
      </w:r>
    </w:p>
    <w:p>
      <w:r>
        <w:rPr>
          <w:b w:val="0"/>
        </w:rPr>
        <w:t>• 終端需求在歐美假期後回落。</w:t>
      </w:r>
    </w:p>
    <w:p>
      <w:r>
        <w:rPr>
          <w:b w:val="0"/>
        </w:rPr>
        <w:t>• 新聞未揭露券商名稱，屬未具名來源。</w:t>
      </w:r>
    </w:p>
    <w:p>
      <w:r>
        <w:rPr>
          <w:b/>
        </w:rPr>
        <w:t>四、來源連結</w:t>
      </w:r>
    </w:p>
    <w:p>
      <w:r>
        <w:rPr>
          <w:b w:val="0"/>
        </w:rPr>
        <w:t>• 時報資訊｜《電零組》國巨Q3營運超標拚Q4更旺 外資維持高目標價（10/08 11:09）　https://www.chinatimes.com/realtimenews/20261008002309-260410</w:t>
      </w:r>
    </w:p>
    <w:p>
      <w:r>
        <w:rPr>
          <w:b w:val="0"/>
        </w:rPr>
        <w:t>※ 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