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個股摘要｜亞系外資（未具名）｜聖暉5536</w:t>
      </w:r>
    </w:p>
    <w:p>
      <w:r>
        <w:rPr>
          <w:b/>
        </w:rPr>
        <w:t>聖暉*(5536)　★未具名（亞系外資）：首次評等買進，目標價 1,415 元（前值 無，首評）</w:t>
      </w:r>
    </w:p>
    <w:p>
      <w:r>
        <w:rPr>
          <w:b/>
        </w:rPr>
        <w:t>資料日期：2026-10-08（見報 時報資訊 10/08 11:59）　｜　盤後場次（10/08 收錄）　｜　浮水印：旺來 wowwow31001</w:t>
      </w:r>
    </w:p>
    <w:p>
      <w:r>
        <w:rPr>
          <w:b/>
        </w:rPr>
        <w:t>一、評等／目標價摘要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項目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內容</w:t>
            </w:r>
          </w:p>
        </w:tc>
      </w:tr>
      <w:tr>
        <w:tc>
          <w:tcPr>
            <w:tcW w:type="dxa" w:w="4320"/>
          </w:tcPr>
          <w:p>
            <w:r>
              <w:t>券商</w:t>
            </w:r>
          </w:p>
        </w:tc>
        <w:tc>
          <w:tcPr>
            <w:tcW w:type="dxa" w:w="4320"/>
          </w:tcPr>
          <w:p>
            <w:r>
              <w:t>★未具名（新聞稱亞系外資）</w:t>
            </w:r>
          </w:p>
        </w:tc>
      </w:tr>
      <w:tr>
        <w:tc>
          <w:tcPr>
            <w:tcW w:type="dxa" w:w="4320"/>
          </w:tcPr>
          <w:p>
            <w:r>
              <w:t>類別</w:t>
            </w:r>
          </w:p>
        </w:tc>
        <w:tc>
          <w:tcPr>
            <w:tcW w:type="dxa" w:w="4320"/>
          </w:tcPr>
          <w:p>
            <w:r>
              <w:t>外資</w:t>
            </w:r>
          </w:p>
        </w:tc>
      </w:tr>
      <w:tr>
        <w:tc>
          <w:tcPr>
            <w:tcW w:type="dxa" w:w="4320"/>
          </w:tcPr>
          <w:p>
            <w:r>
              <w:t>產業</w:t>
            </w:r>
          </w:p>
        </w:tc>
        <w:tc>
          <w:tcPr>
            <w:tcW w:type="dxa" w:w="4320"/>
          </w:tcPr>
          <w:p>
            <w:r>
              <w:t>其他電子－無塵室／廠務工程</w:t>
            </w:r>
          </w:p>
        </w:tc>
      </w:tr>
      <w:tr>
        <w:tc>
          <w:tcPr>
            <w:tcW w:type="dxa" w:w="4320"/>
          </w:tcPr>
          <w:p>
            <w:r>
              <w:t>評等</w:t>
            </w:r>
          </w:p>
        </w:tc>
        <w:tc>
          <w:tcPr>
            <w:tcW w:type="dxa" w:w="4320"/>
          </w:tcPr>
          <w:p>
            <w:r>
              <w:t>買進（首次評等）</w:t>
            </w:r>
          </w:p>
        </w:tc>
      </w:tr>
      <w:tr>
        <w:tc>
          <w:tcPr>
            <w:tcW w:type="dxa" w:w="4320"/>
          </w:tcPr>
          <w:p>
            <w:r>
              <w:t>目標價</w:t>
            </w:r>
          </w:p>
        </w:tc>
        <w:tc>
          <w:tcPr>
            <w:tcW w:type="dxa" w:w="4320"/>
          </w:tcPr>
          <w:p>
            <w:r>
              <w:t>1,415 元（首評，無前值）</w:t>
            </w:r>
          </w:p>
        </w:tc>
      </w:tr>
      <w:tr>
        <w:tc>
          <w:tcPr>
            <w:tcW w:type="dxa" w:w="4320"/>
          </w:tcPr>
          <w:p>
            <w:r>
              <w:t>成長預估</w:t>
            </w:r>
          </w:p>
        </w:tc>
        <w:tc>
          <w:tcPr>
            <w:tcW w:type="dxa" w:w="4320"/>
          </w:tcPr>
          <w:p>
            <w:r>
              <w:t>2026～2028 年營收 CAGR 24.6%、稅後淨利 CAGR 36.9%</w:t>
            </w:r>
          </w:p>
        </w:tc>
      </w:tr>
      <w:tr>
        <w:tc>
          <w:tcPr>
            <w:tcW w:type="dxa" w:w="4320"/>
          </w:tcPr>
          <w:p>
            <w:r>
              <w:t>見報</w:t>
            </w:r>
          </w:p>
        </w:tc>
        <w:tc>
          <w:tcPr>
            <w:tcW w:type="dxa" w:w="4320"/>
          </w:tcPr>
          <w:p>
            <w:r>
              <w:t>時報資訊 10/08 11:59</w:t>
            </w:r>
          </w:p>
        </w:tc>
      </w:tr>
    </w:tbl>
    <w:p>
      <w:r>
        <w:rPr>
          <w:b/>
        </w:rPr>
        <w:t>二、論點</w:t>
      </w:r>
    </w:p>
    <w:p>
      <w:r>
        <w:rPr>
          <w:b w:val="0"/>
        </w:rPr>
        <w:t>• 全球高科技無塵室需求強勁，AI、半導體與資料中心擴建帶動工程需求；在手訂單由 2022 年 300 億元、2025 年 460 億元增至今年 7 月 660 億元。</w:t>
      </w:r>
    </w:p>
    <w:p>
      <w:r>
        <w:rPr>
          <w:b w:val="0"/>
        </w:rPr>
        <w:t>• 競爭優勢來自 BIM、AI 與數位孿生提升工程管理效率，綠色設計與施工技術，跨產業機電經驗與全球服務網絡。</w:t>
      </w:r>
    </w:p>
    <w:p>
      <w:r>
        <w:rPr>
          <w:b w:val="0"/>
        </w:rPr>
        <w:t>• 液冷、機電與無塵室工程具技術優勢，在北美三大資料中心業者供應鏈市占較高；大型專案規模擴大與新專案毛利率改善帶動營運槓桿。</w:t>
      </w:r>
    </w:p>
    <w:p>
      <w:r>
        <w:rPr>
          <w:b/>
        </w:rPr>
        <w:t>三、風險</w:t>
      </w:r>
    </w:p>
    <w:p>
      <w:r>
        <w:rPr>
          <w:b w:val="0"/>
        </w:rPr>
        <w:t>• 大型工程專案認列時程與成本控管風險。</w:t>
      </w:r>
    </w:p>
    <w:p>
      <w:r>
        <w:rPr>
          <w:b w:val="0"/>
        </w:rPr>
        <w:t>• 半導體與資料中心資本支出循環放緩。</w:t>
      </w:r>
    </w:p>
    <w:p>
      <w:r>
        <w:rPr>
          <w:b w:val="0"/>
        </w:rPr>
        <w:t>• 新聞未揭露券商名稱，屬未具名來源。</w:t>
      </w:r>
    </w:p>
    <w:p>
      <w:r>
        <w:rPr>
          <w:b/>
        </w:rPr>
        <w:t>四、來源連結</w:t>
      </w:r>
    </w:p>
    <w:p>
      <w:r>
        <w:rPr>
          <w:b w:val="0"/>
        </w:rPr>
        <w:t>• 時報資訊｜《其他電》亞系外資首評聖暉*給予買進評等 目標價1415元（10/08 11:59）　https://www.chinatimes.com/realtimenews/20261008002606-260410</w:t>
      </w:r>
    </w:p>
    <w:p>
      <w:r>
        <w:rPr>
          <w:b w:val="0"/>
        </w:rPr>
        <w:t>※ 本摘要依公開新聞整理，非完整報告。</w:t>
      </w:r>
    </w:p>
    <w:sectPr w:rsidR="00FC693F" w:rsidRPr="0006063C" w:rsidSect="00034616">
      <w:headerReference w:type="default" r:id="rId9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