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261030｜高盛｜台光電2383</w:t>
      </w:r>
    </w:p>
    <w:p>
      <w:r>
        <w:t>本頁為新聞整理摘要：依公開新聞整理，非券商原始報告、非投資建議。</w:t>
      </w:r>
    </w:p>
    <w:p>
      <w:r>
        <w:t>台光電(2383)　高盛證券 Goldman Sachs：調升目標價（本篇評等原文未載），目標價 11,700 元（前值 10,200 元）</w:t>
      </w:r>
    </w:p>
    <w:p>
      <w:r>
        <w:t>資料日期：2026-10-30　｜　早盤場次（10/30 收錄）　｜　浮水印：旺來 wowwow31001</w:t>
      </w:r>
    </w:p>
    <w:p>
      <w: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高盛證券 Goldman Sachs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電子零組件－CCL銅箔基板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調升目標價（本篇評等原文未載）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11,700 元（前值 10,200 元）</w:t>
            </w:r>
          </w:p>
        </w:tc>
      </w:tr>
    </w:tbl>
    <w:p>
      <w:r>
        <w:t>二、論點</w:t>
      </w:r>
    </w:p>
    <w:p>
      <w:r>
        <w:t>• 台光電第三季核心本業營業利益較市場共識高出約 15%，高盛認為主因產品組合改善幅度遠優於預期，以及部分第二季已宣布的漲價延至第三季才反映。</w:t>
      </w:r>
    </w:p>
    <w:p>
      <w:r>
        <w:t>• 依經營階層說法，即使未來幾年持續擴產，仍不足以滿足客戶長約（LTA）需求，高階 CCL 供需吃緊可能延續至 2030 年。</w:t>
      </w:r>
    </w:p>
    <w:p>
      <w:r>
        <w:t>• 高盛預期 M7 以上高階 CCL 在相同規格基礎上漲價 10%～40%，2027、2028 年仍有望維持相似漲幅；報導引述外資估 2026／2027／2028 年 EPS 為 137.16／326.95／597.78 元。</w:t>
      </w:r>
    </w:p>
    <w:p>
      <w:r>
        <w:t>三、風險</w:t>
      </w:r>
    </w:p>
    <w:p>
      <w:r>
        <w:t>• 擴產速度、新材料認證與客戶出貨節奏若不如預期，漲價與獲利預估可能下修。</w:t>
      </w:r>
    </w:p>
    <w:p>
      <w:r>
        <w:t>• 目標價前值 10,200 元取自本站 7/30 紀錄，期間是否另有調整待確認。</w:t>
      </w:r>
    </w:p>
    <w:p>
      <w:r>
        <w:t>四、來源連結</w:t>
      </w:r>
    </w:p>
    <w:p>
      <w:r>
        <w:t>• 工商時報｜台光電目標價 外資喊11,700（10/30 03:00）　https://www.ctee.com.tw/news/20261030700232-439901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