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台股券商研究報告　日報總覽</w:t>
      </w:r>
    </w:p>
    <w:p>
      <w:r>
        <w:t>夜間場次｜2026 年 9 月 24 日（星期四）　資料窗口：2026/09/24 18:30 – 21:15</w:t>
      </w:r>
    </w:p>
    <w:p>
      <w:r>
        <w:t>整理：旺來 wowwow31001　｜　本報告依公開新聞整理，非券商完整報告原稿</w:t>
      </w:r>
    </w:p>
    <w:p>
      <w:pPr>
        <w:pStyle w:val="Heading1"/>
      </w:pPr>
      <w:r>
        <w:t>一、本場次重點摘要</w:t>
      </w:r>
    </w:p>
    <w:p>
      <w:r>
        <w:t>• 聯發科（2454）：瑞銀個股報告重申「買進」，目標價由 6,500 元調升至 7,300 元，居法人圈次高（最高為麥格理 10,000 元）。瑞銀將 2028、2029 年 TPU 銷售額預估由 350、400 億美元上修至 435、525 億美元，並上調 2028、2029 年 EPS 預估 21%、28% 至 362.63 元、432.81 元（經濟日報 09/24 19:16）。</w:t>
      </w:r>
    </w:p>
    <w:p>
      <w:r>
        <w:t>• 光通訊產業：摩根士丹利解讀 ECOC 大會，業界共識轉為「NPO 2028 年落地首批產品」，光通訊供應鏈產能 12～18 個月幾近售罄，磷化銦（InP）基板最緊俏。★大摩未對個股給評等或目標價（經濟日報 09/24 15:24）。</w:t>
      </w:r>
    </w:p>
    <w:p>
      <w:r>
        <w:t>• 同稿整理之創意（瑞銀 8,660 元）、健策（大和 9,420 元）、奇鋐（麥格理 4,600 元）、信驊（大和 26,660 元）、強茂（野村 214 元，09/20 已收錄）等外資升價股，本站先前場次均已收錄，本場次不重複列入。</w:t>
      </w:r>
    </w:p>
    <w:p>
      <w:r>
        <w:t>• 自選股萬潤（6187）本場次無新具名評等或目標價。</w:t>
      </w:r>
    </w:p>
    <w:p>
      <w:pPr>
        <w:pStyle w:val="Heading1"/>
      </w:pPr>
      <w: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產業</w:t>
            </w:r>
          </w:p>
        </w:tc>
        <w:tc>
          <w:tcPr>
            <w:tcW w:type="dxa" w:w="1440"/>
          </w:tcPr>
          <w:p>
            <w:r>
              <w:t>個股</w:t>
            </w:r>
          </w:p>
        </w:tc>
        <w:tc>
          <w:tcPr>
            <w:tcW w:type="dxa" w:w="1440"/>
          </w:tcPr>
          <w:p>
            <w:r>
              <w:t>券商</w:t>
            </w:r>
          </w:p>
        </w:tc>
        <w:tc>
          <w:tcPr>
            <w:tcW w:type="dxa" w:w="1440"/>
          </w:tcPr>
          <w:p>
            <w:r>
              <w:t>評等</w:t>
            </w:r>
          </w:p>
        </w:tc>
        <w:tc>
          <w:tcPr>
            <w:tcW w:type="dxa" w:w="1440"/>
          </w:tcPr>
          <w:p>
            <w:r>
              <w:t>目標價</w:t>
            </w:r>
          </w:p>
        </w:tc>
        <w:tc>
          <w:tcPr>
            <w:tcW w:type="dxa" w:w="1440"/>
          </w:tcPr>
          <w:p>
            <w:r>
              <w:t>重點</w:t>
            </w:r>
          </w:p>
        </w:tc>
      </w:tr>
      <w:tr>
        <w:tc>
          <w:tcPr>
            <w:tcW w:type="dxa" w:w="1440"/>
          </w:tcPr>
          <w:p>
            <w:r>
              <w:t>IC設計－ASIC／手機晶片</w:t>
            </w:r>
          </w:p>
        </w:tc>
        <w:tc>
          <w:tcPr>
            <w:tcW w:type="dxa" w:w="1440"/>
          </w:tcPr>
          <w:p>
            <w:r>
              <w:t>聯發科(2454)</w:t>
            </w:r>
          </w:p>
        </w:tc>
        <w:tc>
          <w:tcPr>
            <w:tcW w:type="dxa" w:w="1440"/>
          </w:tcPr>
          <w:p>
            <w:r>
              <w:t>瑞銀 UBS</w:t>
            </w:r>
          </w:p>
        </w:tc>
        <w:tc>
          <w:tcPr>
            <w:tcW w:type="dxa" w:w="1440"/>
          </w:tcPr>
          <w:p>
            <w:r>
              <w:t>買進（重申）</w:t>
            </w:r>
          </w:p>
        </w:tc>
        <w:tc>
          <w:tcPr>
            <w:tcW w:type="dxa" w:w="1440"/>
          </w:tcPr>
          <w:p>
            <w:r>
              <w:t>7,300 元（前值 6,500 元）</w:t>
            </w:r>
          </w:p>
        </w:tc>
        <w:tc>
          <w:tcPr>
            <w:tcW w:type="dxa" w:w="1440"/>
          </w:tcPr>
          <w:p>
            <w:r>
              <w:t>TPU v8t 周期延長、v9 2029 年強勁成長；2028/2029 TPU 銷售估 435/525 億美元</w:t>
            </w:r>
          </w:p>
        </w:tc>
      </w:tr>
      <w:tr>
        <w:tc>
          <w:tcPr>
            <w:tcW w:type="dxa" w:w="1440"/>
          </w:tcPr>
          <w:p>
            <w:r>
              <w:t>光通訊－InP 供應鏈</w:t>
            </w:r>
          </w:p>
        </w:tc>
        <w:tc>
          <w:tcPr>
            <w:tcW w:type="dxa" w:w="1440"/>
          </w:tcPr>
          <w:p>
            <w:r>
              <w:t>（產業觀點，無個股評等）</w:t>
            </w:r>
          </w:p>
        </w:tc>
        <w:tc>
          <w:tcPr>
            <w:tcW w:type="dxa" w:w="1440"/>
          </w:tcPr>
          <w:p>
            <w:r>
              <w:t>摩根士丹利 Morgan Stanley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NPO 2028 年落地成共識；InP 基板供需缺口大、產能售罄 12～18 個月</w:t>
            </w:r>
          </w:p>
        </w:tc>
      </w:tr>
    </w:tbl>
    <w:p>
      <w:pPr>
        <w:pStyle w:val="Heading1"/>
      </w:pPr>
      <w:r>
        <w:t>三、市場與大盤</w:t>
      </w:r>
    </w:p>
    <w:p>
      <w:r>
        <w:t>• 加權指數 09/24 收 48,024.60 點（-132.69，-0.28%），成交值 7,366.23 億元（新聞值；FMTQIK 21:05 查詢官方仍只到 09/23 的 8,946.51 億元，待覆核）。本週僅交易 4 天，週漲 843.85 點；上市公司總市值週增 2.76 兆元，台股市值居全球第 4。</w:t>
      </w:r>
    </w:p>
    <w:p>
      <w:r>
        <w:t>• 三大法人賣超 438.72 億元（外資 -338.02／投信 -114.09／自營 +13.38）；外資買超前十名中有 5 檔主動式 ETF，賣超友達（2409）79,999 張最多。</w:t>
      </w:r>
    </w:p>
    <w:p>
      <w:r>
        <w:t>• 台積電（2330）現貨收 2,475 元跌 1%，盤後鉅額交易出現每股 2,749.27 元配對成交，刷新掛牌以來最高成交價。</w:t>
      </w:r>
    </w:p>
    <w:p>
      <w:r>
        <w:t>• 擔保維持率 286.56%（較前日 +1.24）；信用風險戶數 9 戶（維持率不足 7｜追繳 0｜處分 2）；融資餘額 6,049 億元（單日 +18.2 億）。以上為 09/22 官方值，證交所 09/23、09/24 信用資料本場次仍無法讀取。</w:t>
      </w:r>
    </w:p>
    <w:p>
      <w:r>
        <w:t>• 國際：川習會 09/24 於白宮登場，關稅、稀土、AI 與台灣議題為焦點；美股 09/24 於台北時間 21:30 開盤，本場次截稿時尚無收盤數據（費半沿用 09/23 收跌 1.2%）。</w:t>
      </w:r>
    </w:p>
    <w:p>
      <w:r>
        <w:t>• 當日最強五族群（★資料日期 09/22 收盤；09/23、09/24 類股資料本場次無法讀取）：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族群</w:t>
            </w:r>
          </w:p>
        </w:tc>
        <w:tc>
          <w:tcPr>
            <w:tcW w:type="dxa" w:w="2160"/>
          </w:tcPr>
          <w:p>
            <w:r>
              <w:t>漲跌%</w:t>
            </w:r>
          </w:p>
        </w:tc>
        <w:tc>
          <w:tcPr>
            <w:tcW w:type="dxa" w:w="2160"/>
          </w:tcPr>
          <w:p>
            <w: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電子零組件</w:t>
            </w:r>
          </w:p>
        </w:tc>
        <w:tc>
          <w:tcPr>
            <w:tcW w:type="dxa" w:w="2160"/>
          </w:tcPr>
          <w:p>
            <w:r>
              <w:t>+2.20%</w:t>
            </w:r>
          </w:p>
        </w:tc>
        <w:tc>
          <w:tcPr>
            <w:tcW w:type="dxa" w:w="2160"/>
          </w:tcPr>
          <w:p>
            <w:r>
              <w:t>南電(8046)+9.91%、欣興(3037)+9.80%、嘉澤(3533)+9.75%、定穎投控(3715)+8.44%、揚博(2493)+6.28%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+1.18%</w:t>
            </w:r>
          </w:p>
        </w:tc>
        <w:tc>
          <w:tcPr>
            <w:tcW w:type="dxa" w:w="2160"/>
          </w:tcPr>
          <w:p>
            <w:r>
              <w:t>友達(2409)+9.90%、台表科(6278)+9.77%、牧德(3563)+7.73%、冠西電(2466)+5.00%、彩晶(6116)+4.39%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電機機械</w:t>
            </w:r>
          </w:p>
        </w:tc>
        <w:tc>
          <w:tcPr>
            <w:tcW w:type="dxa" w:w="2160"/>
          </w:tcPr>
          <w:p>
            <w:r>
              <w:t>+1.04%</w:t>
            </w:r>
          </w:p>
        </w:tc>
        <w:tc>
          <w:tcPr>
            <w:tcW w:type="dxa" w:w="2160"/>
          </w:tcPr>
          <w:p>
            <w:r>
              <w:t>高力(8996)+9.97%、大量(3167)+7.20%、中砂(1560)+3.94%、亞德客-KY(1590)+1.61%、鑽全(1527)+0.77%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+0.97%</w:t>
            </w:r>
          </w:p>
        </w:tc>
        <w:tc>
          <w:tcPr>
            <w:tcW w:type="dxa" w:w="2160"/>
          </w:tcPr>
          <w:p>
            <w:r>
              <w:t>台泥(1101)+1.66%、台泥乙特(1101B)+0.58%、亞泥(1102)+0.57%、信大(1109)-0.37%、嘉泥(1103)-0.38%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其他電子</w:t>
            </w:r>
          </w:p>
        </w:tc>
        <w:tc>
          <w:tcPr>
            <w:tcW w:type="dxa" w:w="2160"/>
          </w:tcPr>
          <w:p>
            <w:r>
              <w:t>+0.94%</w:t>
            </w:r>
          </w:p>
        </w:tc>
        <w:tc>
          <w:tcPr>
            <w:tcW w:type="dxa" w:w="2160"/>
          </w:tcPr>
          <w:p>
            <w:r>
              <w:t>連宇(2482)+2.82%、致茂(2360)+2.74%、無敵(8201)+2.50%、尖點(8021)+2.36%、柏騰(3518)+1.90%</w:t>
            </w:r>
          </w:p>
        </w:tc>
      </w:tr>
    </w:tbl>
    <w:p>
      <w:r>
        <w:t>• 台股 09/25～09/28 中秋、教師節連假休市，09/29（二）恢復交易。</w:t>
      </w:r>
    </w:p>
    <w:p>
      <w:pPr>
        <w:pStyle w:val="Heading1"/>
      </w:pPr>
      <w:r>
        <w:t>四、來源</w:t>
      </w:r>
    </w:p>
    <w:p>
      <w:r>
        <w:t>1. 經濟日報｜市場嚴重低估 未來價值大爆發！外資開第一槍喊買這檔 IC 設計股（09/24 19:16）（https://money.udn.com/money/story/5607/9776183）</w:t>
      </w:r>
    </w:p>
    <w:p>
      <w:r>
        <w:t>2. 經濟日報｜外資砸4,100億元推升台股漲8,000點！這10檔外資升價股將成中秋後領頭羊（09/24 17:45）（https://money.udn.com/money/story/5607/9776027）</w:t>
      </w:r>
    </w:p>
    <w:p>
      <w:r>
        <w:t>3. 經濟日報｜摩根士丹利解讀 ECOC 大會 NPO 將在2028年落地成共識（09/24 15:24）（https://money.udn.com/money/story/5607/9775693）</w:t>
      </w:r>
    </w:p>
    <w:p>
      <w:r>
        <w:t>4. 經濟日報｜中秋連假後有大行情？台積電盤後鉅額交易飆2,749元（09/24 18:31）（https://money.udn.com/money/story/5607/9776115）</w:t>
      </w:r>
    </w:p>
    <w:p>
      <w:r>
        <w:t>5. 經濟日報｜外資賣超338億元、最愛仍是主動式 ETF（09/24 17:53）（https://money.udn.com/money/story/5607/9776040）</w:t>
      </w:r>
    </w:p>
    <w:p>
      <w:r>
        <w:t>6. 經濟日報｜台股市值全球第4 上市公司總市值週增2.76兆元（09/24 18:00）（https://money.udn.com/money/story/5710/9776055）</w:t>
      </w:r>
    </w:p>
    <w:p>
      <w:r>
        <w:t>7. 臺灣證券交易所｜FMTQIK 每日市場成交資訊（官方最新 09/23）（https://openapi.twse.com.tw/v1/exchangeReport/FMTQIK）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