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</w:rPr>
        <w:t>個股摘要｜本土法人（未具名）｜南亞科2408</w:t>
      </w:r>
    </w:p>
    <w:p>
      <w:r>
        <w:rPr>
          <w:rFonts w:ascii="Microsoft JhengHei" w:hAnsi="Microsoft JhengHei" w:eastAsia="Microsoft JhengHei"/>
          <w:b/>
        </w:rPr>
        <w:t>南亞科(2408)　本土法人（未具名）：增加持股（維持），目標價上調至 800 元（前值 待確認）</w:t>
      </w:r>
    </w:p>
    <w:p>
      <w:r>
        <w:rPr>
          <w:rFonts w:ascii="Microsoft JhengHei" w:hAnsi="Microsoft JhengHei" w:eastAsia="Microsoft JhengHei"/>
          <w:b/>
        </w:rPr>
        <w:t>資料日期：2026-10-11（見報 三立新聞網 10/11 06:30）　｜　夜間場次　｜　浮水印：旺來 wowwow31001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★未具名（本土法人）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半導體－記憶體（DRAM）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增加持股（維持）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800 元（前值 待確認，原文稱「一口氣大幅調升」）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三立新聞網 10/11 06:30（記者師瑞德）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大型消費性客戶 7 月換約，Q3 ASP/Gb 估季增 60%～65% 至約 2.7 美元；位元出貨微幅季減低個位數至約 15.3 億 Gb。</w:t>
      </w:r>
    </w:p>
    <w:p>
      <w:r>
        <w:rPr>
          <w:rFonts w:ascii="Microsoft JhengHei" w:hAnsi="Microsoft JhengHei" w:eastAsia="Microsoft JhengHei"/>
          <w:b w:val="0"/>
        </w:rPr>
        <w:t>• 法人估 Q3 毛利率 87.6%、稅後淨利 912.67 億元、單季 EPS 26.66 元，全面優於先前市場共識。</w:t>
      </w:r>
    </w:p>
    <w:p>
      <w:r>
        <w:rPr>
          <w:rFonts w:ascii="Microsoft JhengHei" w:hAnsi="Microsoft JhengHei" w:eastAsia="Microsoft JhengHei"/>
          <w:b w:val="0"/>
        </w:rPr>
        <w:t>• 供應鏈訪查顯示 Q4 DDR4 合約價續揚 10%～20%，大型伺服器客戶漲幅可望逾 20%；2026～2028 年 EPS 預估 80.53／148.08／229.06 元。</w:t>
      </w:r>
    </w:p>
    <w:p>
      <w:r>
        <w:rPr>
          <w:rFonts w:ascii="Microsoft JhengHei" w:hAnsi="Microsoft JhengHei" w:eastAsia="Microsoft JhengHei"/>
          <w:b w:val="0"/>
        </w:rPr>
        <w:t>• HBM、RDIMM 排擠傳統 DRAM 投片，2027～2028 年結構性供不應求；5A 新廠 2027 年 Q2 起投片。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記憶體報價循環反轉、客戶庫存調整速度；新廠投產進度。</w:t>
      </w:r>
    </w:p>
    <w:p>
      <w:r>
        <w:rPr>
          <w:rFonts w:ascii="Microsoft JhengHei" w:hAnsi="Microsoft JhengHei" w:eastAsia="Microsoft JhengHei"/>
          <w:b w:val="0"/>
        </w:rPr>
        <w:t>• 原文未揭露券商名稱與前次目標價；10/12 法說內容可能使預估再調整。</w:t>
      </w:r>
    </w:p>
    <w:p>
      <w:r>
        <w:rPr>
          <w:rFonts w:ascii="Microsoft JhengHei" w:hAnsi="Microsoft JhengHei" w:eastAsia="Microsoft JhengHei"/>
          <w:b/>
        </w:rPr>
        <w:t>四、來源連結</w:t>
      </w:r>
    </w:p>
    <w:p>
      <w:r>
        <w:rPr>
          <w:rFonts w:ascii="Microsoft JhengHei" w:hAnsi="Microsoft JhengHei" w:eastAsia="Microsoft JhengHei"/>
          <w:b w:val="0"/>
        </w:rPr>
        <w:t>• 三立新聞網｜記憶體超級循環！南亞科新目標價出爐（10/11 06:30）　https://www.setn.com/news/1920594</w:t>
      </w:r>
    </w:p>
    <w:p>
      <w:r>
        <w:rPr>
          <w:rFonts w:ascii="Microsoft JhengHei" w:hAnsi="Microsoft JhengHei" w:eastAsia="Microsoft JhengHei"/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