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</w:rPr>
        <w:t>個股摘要｜本土法人（未具名）｜廣閎科6693</w:t>
      </w:r>
    </w:p>
    <w:p>
      <w:r>
        <w:rPr>
          <w:rFonts w:ascii="Microsoft JhengHei" w:hAnsi="Microsoft JhengHei" w:eastAsia="Microsoft JhengHei"/>
          <w:b/>
        </w:rPr>
        <w:t>廣閎科(6693)　本土法人（未具名）：買進，目標價 250 元（前值 待確認）</w:t>
      </w:r>
    </w:p>
    <w:p>
      <w:r>
        <w:rPr>
          <w:rFonts w:ascii="Microsoft JhengHei" w:hAnsi="Microsoft JhengHei" w:eastAsia="Microsoft JhengHei"/>
          <w:b/>
        </w:rPr>
        <w:t>資料日期：2026-10-11（見報 三立新聞網 10/11 05:30）　｜　夜間場次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★未具名（本土法人）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半導體－功率IC／MOSFET（AI 伺服器電源）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250 元（前值 待確認；原文稱潛在上檔約 49%）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三立新聞網 10/11 05:30（記者師瑞德）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伺服器應用營收占比由 2024 年 2%、2025 年 13% 跳升至 2026 年 Q2 的 47%，全年可望突破 5 成。</w:t>
      </w:r>
    </w:p>
    <w:p>
      <w:r>
        <w:rPr>
          <w:rFonts w:ascii="Microsoft JhengHei" w:hAnsi="Microsoft JhengHei" w:eastAsia="Microsoft JhengHei"/>
          <w:b w:val="0"/>
        </w:rPr>
        <w:t>• 2026 年上半年營收 11.67 億元、年增 70%，稅後淨利 1.53 億元；法人估全年營收 27.2 億元（年增 92%）、EPS 9.14 元，超越過去五年總和。</w:t>
      </w:r>
    </w:p>
    <w:p>
      <w:r>
        <w:rPr>
          <w:rFonts w:ascii="Microsoft JhengHei" w:hAnsi="Microsoft JhengHei" w:eastAsia="Microsoft JhengHei"/>
          <w:b w:val="0"/>
        </w:rPr>
        <w:t>• 訂單能見度延伸至 2027 年上半年，估 2027 年營收 35.3 億元、毛利率 35%、EPS 13.93 元。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AI 伺服器客戶集中、功率元件價格競爭；預估數字為法人推估。</w:t>
      </w:r>
    </w:p>
    <w:p>
      <w:r>
        <w:rPr>
          <w:rFonts w:ascii="Microsoft JhengHei" w:hAnsi="Microsoft JhengHei" w:eastAsia="Microsoft JhengHei"/>
          <w:b w:val="0"/>
        </w:rPr>
        <w:t>• 原文未揭露券商名稱與是否為首次評等。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三立新聞網｜伺服器營收占比過半！廣閎科上看250元 買進原因曝光（10/11 05:30）　https://www.setn.com/news/1920597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