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7A5E17"/>
          <w:sz w:val="32"/>
        </w:rPr>
        <w:t>261004｜法人(未具名)｜奇鋐3017</w:t>
      </w:r>
    </w:p>
    <w:p>
      <w:r>
        <w:rPr>
          <w:rFonts w:ascii="Microsoft JhengHei" w:hAnsi="Microsoft JhengHei" w:eastAsia="Microsoft JhengHei"/>
          <w:b/>
          <w:sz w:val="24"/>
        </w:rPr>
        <w:t>奇鋐（3017）｜法人（★未具名）</w:t>
      </w:r>
    </w:p>
    <w:p>
      <w:r>
        <w:rPr>
          <w:rFonts w:ascii="Microsoft JhengHei" w:hAnsi="Microsoft JhengHei" w:eastAsia="Microsoft JhengHei"/>
          <w:b/>
          <w:sz w:val="24"/>
        </w:rPr>
        <w:t>2026/10/04 夜間場次　電子零組件－散熱／水冷板　工商時報 10/04 09:25</w:t>
      </w:r>
    </w:p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★未具名法人（原文未載券商名稱）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4,500 元；原文寫「上調」但未載前值（前值 待確認）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獲利預估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 年 EPS 104.02→104.65 元；2027 年 EPS 162.71→180.69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2027 年 EPS × 25 倍本益比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● 奇鋐未列入輝達首批 CDU 認證名單，Rubin Ultra 規格亦傳可能變動，但法人評估對營運影響有限。</w:t>
      </w:r>
    </w:p>
    <w:p>
      <w:r>
        <w:rPr>
          <w:rFonts w:ascii="Microsoft JhengHei" w:hAnsi="Microsoft JhengHei" w:eastAsia="Microsoft JhengHei"/>
          <w:b w:val="0"/>
          <w:sz w:val="21"/>
        </w:rPr>
        <w:t>● 2027 年營收預估由 3,144 億元上修至 3,409 億元，水冷產品占營收比重估將超過五成。</w:t>
      </w:r>
    </w:p>
    <w:p>
      <w:r>
        <w:rPr>
          <w:rFonts w:ascii="Microsoft JhengHei" w:hAnsi="Microsoft JhengHei" w:eastAsia="Microsoft JhengHei"/>
          <w:b w:val="0"/>
          <w:sz w:val="21"/>
        </w:rPr>
        <w:t>● 雙面水冷板單價估超過 3,000 美元，產品組合升級帶動獲利上修。</w:t>
      </w:r>
    </w:p>
    <w:p>
      <w:r>
        <w:rPr>
          <w:rFonts w:ascii="Microsoft JhengHei" w:hAnsi="Microsoft JhengHei" w:eastAsia="Microsoft JhengHei"/>
          <w:b/>
          <w:sz w:val="24"/>
        </w:rPr>
        <w:t>三、風險</w:t>
      </w:r>
    </w:p>
    <w:p>
      <w:r>
        <w:rPr>
          <w:rFonts w:ascii="Microsoft JhengHei" w:hAnsi="Microsoft JhengHei" w:eastAsia="Microsoft JhengHei"/>
          <w:b w:val="0"/>
          <w:sz w:val="21"/>
        </w:rPr>
        <w:t>● CDU 認證進度落後、Rubin Ultra 規格變動可能影響 2027 年出貨節奏。</w:t>
      </w:r>
    </w:p>
    <w:p>
      <w:r>
        <w:rPr>
          <w:rFonts w:ascii="Microsoft JhengHei" w:hAnsi="Microsoft JhengHei" w:eastAsia="Microsoft JhengHei"/>
          <w:b w:val="0"/>
          <w:sz w:val="21"/>
        </w:rPr>
        <w:t>● 原文未具名券商，且未載目標價前值；09/23、09/29 已有 4,500 元／4,513 元等相近目標價報導，是否為同一機構待確認。</w:t>
      </w:r>
    </w:p>
    <w:p>
      <w:r>
        <w:rPr>
          <w:rFonts w:ascii="Microsoft JhengHei" w:hAnsi="Microsoft JhengHei" w:eastAsia="Microsoft JhengHei"/>
          <w:b/>
          <w:sz w:val="24"/>
        </w:rPr>
        <w:t>來源</w:t>
      </w:r>
    </w:p>
    <w:p>
      <w:r>
        <w:rPr>
          <w:rFonts w:ascii="Microsoft JhengHei" w:hAnsi="Microsoft JhengHei" w:eastAsia="Microsoft JhengHei"/>
          <w:b w:val="0"/>
          <w:sz w:val="21"/>
        </w:rPr>
        <w:t>● 工商時報 10/04 09:25　https://www.ctee.com.tw/news/20261004700285-430201</w:t>
      </w:r>
    </w:p>
    <w:p>
      <w:r>
        <w:rPr>
          <w:rFonts w:ascii="Microsoft JhengHei" w:hAnsi="Microsoft JhengHei" w:eastAsia="Microsoft JhengHei"/>
          <w:b/>
          <w:sz w:val="24"/>
        </w:rPr>
        <w:t>本摘要依公開新聞整理，非完整報告。　浮水印帳號：旺來 wowwow31001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