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261004｜國泰證期｜金居8358</w:t>
      </w:r>
    </w:p>
    <w:p>
      <w:r>
        <w:rPr>
          <w:rFonts w:ascii="Microsoft JhengHei" w:hAnsi="Microsoft JhengHei" w:eastAsia="Microsoft JhengHei"/>
          <w:b/>
          <w:sz w:val="24"/>
        </w:rPr>
        <w:t>金居（8358）｜國泰證期（金控旗下研究機構，★具名）</w:t>
      </w:r>
    </w:p>
    <w:p>
      <w:r>
        <w:rPr>
          <w:rFonts w:ascii="Microsoft JhengHei" w:hAnsi="Microsoft JhengHei" w:eastAsia="Microsoft JhengHei"/>
          <w:b/>
          <w:sz w:val="24"/>
        </w:rPr>
        <w:t>2026/10/04 夜間場次補收　銅箔－高階 HVLP　工商時報 10/01 18:36</w:t>
      </w:r>
    </w:p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國泰證期（內資）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620 元（調升；前值 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10 元；2027 年 EPS 21.96 元（約翻倍）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2026/10/01（前場次漏收，10/04 夜間場補收）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● 第二季起高階銅箔 HVLP3／HVLP4 逐步開出，上半年累計對客戶調漲全產品加工費約 10%，月營收逐月創高。</w:t>
      </w:r>
    </w:p>
    <w:p>
      <w:r>
        <w:rPr>
          <w:rFonts w:ascii="Microsoft JhengHei" w:hAnsi="Microsoft JhengHei" w:eastAsia="Microsoft JhengHei"/>
          <w:b w:val="0"/>
          <w:sz w:val="21"/>
        </w:rPr>
        <w:t>● 高階銅箔市場第三季起供不應求，HVLP4 占比有望超越 HVLP3；國際銅價走高，研判將持續調漲售價。</w:t>
      </w:r>
    </w:p>
    <w:p>
      <w:r>
        <w:rPr>
          <w:rFonts w:ascii="Microsoft JhengHei" w:hAnsi="Microsoft JhengHei" w:eastAsia="Microsoft JhengHei"/>
          <w:b w:val="0"/>
          <w:sz w:val="21"/>
        </w:rPr>
        <w:t>● 隨產能開出，AI 相關產品市占可望提升，2027 年獲利估較 2026 年翻倍。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● 銅價與電費等成本波動、下游需求轉弱可能壓縮加工費調漲空間。</w:t>
      </w:r>
    </w:p>
    <w:p>
      <w:r>
        <w:rPr>
          <w:rFonts w:ascii="Microsoft JhengHei" w:hAnsi="Microsoft JhengHei" w:eastAsia="Microsoft JhengHei"/>
          <w:b w:val="0"/>
          <w:sz w:val="21"/>
        </w:rPr>
        <w:t>● 原文未載目標價前值與評價倍數，目標價推導無法檢驗。</w:t>
      </w:r>
    </w:p>
    <w:p>
      <w:r>
        <w:rPr>
          <w:rFonts w:ascii="Microsoft JhengHei" w:hAnsi="Microsoft JhengHei" w:eastAsia="Microsoft JhengHei"/>
          <w:b/>
          <w:sz w:val="24"/>
        </w:rPr>
        <w:t>來源</w:t>
      </w:r>
    </w:p>
    <w:p>
      <w:r>
        <w:rPr>
          <w:rFonts w:ascii="Microsoft JhengHei" w:hAnsi="Microsoft JhengHei" w:eastAsia="Microsoft JhengHei"/>
          <w:b w:val="0"/>
          <w:sz w:val="21"/>
        </w:rPr>
        <w:t>● 工商時報（簡威瑟）10/01 18:36　https://www.ctee.com.tw/news/20261001702132-430502</w:t>
      </w:r>
    </w:p>
    <w:p>
      <w:r>
        <w:rPr>
          <w:rFonts w:ascii="Microsoft JhengHei" w:hAnsi="Microsoft JhengHei" w:eastAsia="Microsoft JhengHei"/>
          <w:b/>
          <w:sz w:val="24"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