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個股摘要｜未具名法人｜南電8046</w:t>
      </w:r>
    </w:p>
    <w:p>
      <w:r>
        <w:rPr>
          <w:b/>
        </w:rPr>
        <w:t>南電(8046)　★未具名：買進，目標價 2,000 元（前值 待確認）</w:t>
      </w:r>
    </w:p>
    <w:p>
      <w:r>
        <w:t>資料日期：2026-10-07（見報 FTNN 10/07 10:20）　｜　收盤場次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★未載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電子零組件－ABF載板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2,000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FTNN 10/07 10:20</w:t>
            </w:r>
          </w:p>
        </w:tc>
      </w:tr>
    </w:tbl>
    <w:p>
      <w:r>
        <w:rPr>
          <w:b/>
        </w:rPr>
        <w:t>二、論點</w:t>
      </w:r>
    </w:p>
    <w:p>
      <w:r>
        <w:t>• ABF 缺貨與規格升級，第四季營收估雙位數季增；1.6T 網通交換器晶片所需 ABF 用量為前一代兩倍，並取得 AMD Venice CPU 轉單。</w:t>
      </w:r>
    </w:p>
    <w:p>
      <w:r>
        <w:t>• 預估 2026、2027 年 EPS 18.55 元、65.36 元；股價連 9 個交易日收漲、波段漲幅 41.98%。</w:t>
      </w:r>
    </w:p>
    <w:p>
      <w:r>
        <w:rPr>
          <w:b/>
        </w:rPr>
        <w:t>三、風險</w:t>
      </w:r>
    </w:p>
    <w:p>
      <w:r>
        <w:t>• AI 伺服器拉貨節奏遞延或客戶集中度風險。</w:t>
      </w:r>
    </w:p>
    <w:p>
      <w:r>
        <w:t>• 新題材（太空散熱、新材料、新產能）實際營收貢獻時程不確定。</w:t>
      </w:r>
    </w:p>
    <w:p>
      <w:r>
        <w:t>• 新聞未載法人名稱，以「★未具名」記錄；目標價前值待確認。</w:t>
      </w:r>
    </w:p>
    <w:p>
      <w:r>
        <w:rPr>
          <w:b/>
        </w:rPr>
        <w:t>四、來源連結</w:t>
      </w:r>
    </w:p>
    <w:p>
      <w:r>
        <w:t>• FTNN 新聞網｜法人目標價喊6400、2000元！「AI板材雙雄」法人點名（10/07 10:20）　https://www.ftnn.com.tw/news/585190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