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個股摘要｜未具名法人｜台光電2383</w:t>
      </w:r>
    </w:p>
    <w:p>
      <w:r>
        <w:rPr>
          <w:b/>
        </w:rPr>
        <w:t>台光電(2383)　★未具名：買進，目標價 6,400 元（前值 待確認）</w:t>
      </w:r>
    </w:p>
    <w:p>
      <w:r>
        <w:t>資料日期：2026-10-07（見報 FTNN 10/07 10:20）　｜　收盤場次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電子零組件－CCL銅箔基板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6,400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FTNN 10/07 10:20</w:t>
            </w:r>
          </w:p>
        </w:tc>
      </w:tr>
    </w:tbl>
    <w:p>
      <w:r>
        <w:rPr>
          <w:b/>
        </w:rPr>
        <w:t>二、論點</w:t>
      </w:r>
    </w:p>
    <w:p>
      <w:r>
        <w:t>• 公司規畫 2027 年底產能提升至 945 萬張、2028 年再擴至 1,125 萬張，並積極送樣多種新材料。</w:t>
      </w:r>
    </w:p>
    <w:p>
      <w:r>
        <w:t>• 法人認為高階材料競爭力可望持續領先同業，股價距 6,000 元大關僅一步之遙。</w:t>
      </w:r>
    </w:p>
    <w:p>
      <w:r>
        <w:rPr>
          <w:b/>
        </w:rPr>
        <w:t>三、風險</w:t>
      </w:r>
    </w:p>
    <w:p>
      <w:r>
        <w:t>• AI 伺服器拉貨節奏遞延或客戶集中度風險。</w:t>
      </w:r>
    </w:p>
    <w:p>
      <w:r>
        <w:t>• 新題材（太空散熱、新材料、新產能）實際營收貢獻時程不確定。</w:t>
      </w:r>
    </w:p>
    <w:p>
      <w:r>
        <w:t>• 新聞未載法人名稱，以「★未具名」記錄；目標價前值待確認。</w:t>
      </w:r>
    </w:p>
    <w:p>
      <w:r>
        <w:rPr>
          <w:b/>
        </w:rPr>
        <w:t>四、來源連結</w:t>
      </w:r>
    </w:p>
    <w:p>
      <w:r>
        <w:t>• FTNN 新聞網｜法人目標價喊6400、2000元！「AI板材雙雄」法人點名（10/07 10:20）　https://www.ftnn.com.tw/news/585190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