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個股摘要｜未具名法人｜奇鋐3017</w:t>
      </w:r>
    </w:p>
    <w:p>
      <w:r>
        <w:rPr>
          <w:b/>
        </w:rPr>
        <w:t>奇鋐(3017)　★未具名：買進，目標價 3,750 元（前值 待確認）</w:t>
      </w:r>
    </w:p>
    <w:p>
      <w:r>
        <w:t>資料日期：2026-10-07（見報 FTNN 10/07 13:07）　｜　收盤場次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電子零組件－散熱／水冷板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3,750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FTNN 10/07 13:07</w:t>
            </w:r>
          </w:p>
        </w:tc>
      </w:tr>
    </w:tbl>
    <w:p>
      <w:r>
        <w:rPr>
          <w:b/>
        </w:rPr>
        <w:t>二、論點</w:t>
      </w:r>
    </w:p>
    <w:p>
      <w:r>
        <w:t>• 法人看好 AI 散熱本業持續成長，預估 2026、2027 年 EPS 分別 104.48 元、149.36 元，獲利可望連續創高。</w:t>
      </w:r>
    </w:p>
    <w:p>
      <w:r>
        <w:t>• 太空散熱仍屬早期市場，公司研發重點放在熱輻射板與低溫熱管，因應真空、無對流環境。</w:t>
      </w:r>
    </w:p>
    <w:p>
      <w:r>
        <w:rPr>
          <w:b/>
        </w:rPr>
        <w:t>三、風險</w:t>
      </w:r>
    </w:p>
    <w:p>
      <w:r>
        <w:t>• AI 伺服器拉貨節奏遞延或客戶集中度風險。</w:t>
      </w:r>
    </w:p>
    <w:p>
      <w:r>
        <w:t>• 新題材（太空散熱、新材料、新產能）實際營收貢獻時程不確定。</w:t>
      </w:r>
    </w:p>
    <w:p>
      <w:r>
        <w:t>• 新聞未載法人名稱，以「★未具名」記錄；目標價前值待確認。</w:t>
      </w:r>
    </w:p>
    <w:p>
      <w:r>
        <w:rPr>
          <w:b/>
        </w:rPr>
        <w:t>四、來源連結</w:t>
      </w:r>
    </w:p>
    <w:p>
      <w:r>
        <w:t>• FTNN 新聞網｜低軌衛星下一波竟是散熱？建準、雙鴻3雄目標價最高喊3750元（10/07 13:07）　https://www.ftnn.com.tw/news/585193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