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個股摘要｜未具名法人｜建準2421</w:t>
      </w:r>
    </w:p>
    <w:p>
      <w:r>
        <w:rPr>
          <w:b/>
        </w:rPr>
        <w:t>建準(2421)　★未具名：買進，目標價 180 元（前值 待確認）</w:t>
      </w:r>
    </w:p>
    <w:p>
      <w:r>
        <w:t>資料日期：2026-10-07（見報 FTNN 10/07 13:07）　｜　收盤場次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電子零組件－散熱風扇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180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FTNN 10/07 13:07</w:t>
            </w:r>
          </w:p>
        </w:tc>
      </w:tr>
    </w:tbl>
    <w:p>
      <w:r>
        <w:rPr>
          <w:b/>
        </w:rPr>
        <w:t>二、論點</w:t>
      </w:r>
    </w:p>
    <w:p>
      <w:r>
        <w:t>• 下半年受惠 Amazon Trainium 3 放量，水冷板第一季開始出貨、第四季可望放量；另切入資料中心大型 EC 風扇（含 800V 產品）。</w:t>
      </w:r>
    </w:p>
    <w:p>
      <w:r>
        <w:t>• 毫米級風扇早年取得 NASA 認證，被視為切入特殊環境散熱的技術基礎；預估 2026、2027 年 EPS 10.51 元、12.23 元。</w:t>
      </w:r>
    </w:p>
    <w:p>
      <w:r>
        <w:rPr>
          <w:b/>
        </w:rPr>
        <w:t>三、風險</w:t>
      </w:r>
    </w:p>
    <w:p>
      <w:r>
        <w:t>• AI 伺服器拉貨節奏遞延或客戶集中度風險。</w:t>
      </w:r>
    </w:p>
    <w:p>
      <w:r>
        <w:t>• 新題材（太空散熱、新材料、新產能）實際營收貢獻時程不確定。</w:t>
      </w:r>
    </w:p>
    <w:p>
      <w:r>
        <w:t>• 新聞未載法人名稱，以「★未具名」記錄；目標價前值待確認。</w:t>
      </w:r>
    </w:p>
    <w:p>
      <w:r>
        <w:rPr>
          <w:b/>
        </w:rPr>
        <w:t>四、來源連結</w:t>
      </w:r>
    </w:p>
    <w:p>
      <w:r>
        <w:t>• FTNN 新聞網｜低軌衛星下一波竟是散熱？建準、雙鴻3雄目標價最高喊3750元（10/07 13:07）　https://www.ftnn.com.tw/news/585193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