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1F3B73"/>
          <w:sz w:val="32"/>
        </w:rPr>
        <w:t>上詮 3363　高盛證券（★具名）　買進　★目標價未載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整理日期：2026/09/08（二）盤後場次　│　覆蓋窗口 09/08 08:10－19:10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824"/>
      </w:tblGrid>
      <w:tr>
        <w:tc>
          <w:tcPr>
            <w:tcW w:type="dxa" w:w="1928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高盛（Goldman Sachs）　★本場次唯一具名券商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外資／內資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光通訊／CPO 光纖陣列單元（FAU）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評等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買進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★原文未載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09/08 收盤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711 元，跌 12 元（-1.66%），開 728／高 749／低 707，成交 4,093 張（來源 鉅亨網）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發布時間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經濟日報 2026/09/08 14:23（14:52 更新）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二、券商論點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・FAU 已於第 3 季開始出貨並帶動營收成長，公司對相關業務保持樂觀。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・在 AI 伺服器機櫃需求攀升及 FAU 規格升級推動下，上詮將迎來強勁獲利成長；高盛預估營收成長力道將在 2027 年下半年進一步加速。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・管理層對 AIDC 光通訊網路趨勢正面，預期上詮受惠於 CPO 交換器終端需求由 scale out 走向 scale up。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・技術護城河：隨資料傳輸速度提升，FAU 通道數增加、進入門檻提高，上詮的研發能力與高精度製造能力形成競爭優勢。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・★獲利預估：隨 FAU 出貨放量，毛利率將逐步回升，預估 2028 年毛利率有望擴張至 37.9%。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三、風險與資訊缺口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・★最大缺口：全文未載目標價，僅有評等。買進評等缺乏價位錨點，可操作性有限。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・★無 EPS 預估、無營收預估、無評價倍數、無評等變動說明（新評／調升／維持皆未載）。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・★★基期問題：上詮 7 月自結為每股淨損 0.29 元（09/04 紀錄），公司仍在虧損狀態。高盛的獲利成長論述完全建立在 FAU 未來放量之上，且毛利率目標指向 2028 年——兌現期相當遠。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・與大立光（3008）在 FAU／CPO 領域直接競爭。瑞銀 09/07 降評大立光時明確指出：FAU 樣品線本季底才啟動、需數季提升良率、還須通過康寧／Senko／合聖科技 AuthenX 等整合商驗證，第三代光學組件 2028 年才實現。同一組產業風險同樣適用於上詮，但高盛本則未提示。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・既有競爭者天孚通信（TFC）與垂直整合的 Coherent 亦在此領域，原文未討論。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・09/08 股價收 -1.66%，在買進評等發布當日仍收黑，市場反應平淡。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・★前一則高盛對上詮的紀錄為 260808_高盛_上詮3363.docx，本次是否為評等或預估之調整，原文未交代。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四、來源</w:t>
      </w:r>
    </w:p>
    <w:p>
      <w:pPr>
        <w:spacing w:after="2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・經濟日報 09/08 14:23　https://udn.com/news/story/7252/9741522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 w:val="0"/>
          <w:color w:val="888888"/>
          <w:sz w:val="16"/>
        </w:rPr>
        <w:t>本摘要依公開新聞整理，非完整報告。標示「★」處為原文未載或本系統回算之項目。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