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世界先進（5347）券商觀點摘要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資料來源：工商時報、旺得富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產業分類：半導體－晶圓代工（成熟製程／AI 中介層、PMIC）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花旗環球</w:t>
              <w:br/>
              <w:t xml:space="preserve">（分析師陳佳儀，外資）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</w:t>
              <w:br/>
              <w:t xml:space="preserve">（未明示評等）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185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原文為「花旗環球證券升至 185 元」，屬調升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凱基投顧（內資）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買進（升評）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字頭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8/5 白天旺得富版本為「增持、157→187 元（+19%）」；兩則是否同一份報告待確認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金控旗下投顧（內資，未具名）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買進（升評）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字頭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提供最完整財務預測（見下）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野村、摩根大通（外資）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未明示（正向）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字頭（200 元以上）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原文僅稱「股價預期均為 2 字頭」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國泰證期研究、中信投顧（內資）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未明示（正向）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字頭（200 元以上）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元大投顧（內資）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8/4 報告、8/5 見報，本場次補收錄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註：工商時報標題稱「法人喊到 220 元」，但內文未逐一列出各家數字，220 元對應之券商待確認（原文以圖表呈現）。所有券商之舊目標價與分析師姓名多未揭露。8/5 盤後場次收錄之世界先進為「公司法說、無券商評等」，本場次為法說後第一波評等落地。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・法說會釋出更為樂觀的 2027～2028 年 AI 相關擴產展望，是本波內外資同步升評的直接觸發點。晶圓代工大哥台積電、二哥聯電青睞度先行凝聚後，世界先進終於補上正向展望。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・花旗（陳佳儀）：Q2 產能利用率約 87%，管理層預期 Q3 提升至 90%、Q4 進一步提高；除 AI 外也觀察到多個成熟製程終端市場基本面進步，認為成熟製程晶圓代工市場正進入「更全面性的復甦階段」，產能利用率與價格走勢皆持續改善，產能緊缺進一步強化漲價空間。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・金控旗下投顧：今年資本支出維持 600～700 億元，與 2025 年 640 億元相當；AI 相關的中介層、PMIC、離散元件等維持供不應求。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・結構轉變的關鍵數字：估 2027 年 12 吋貢獻營收達 12%；AI 相關營收比重由今年 10%～15% 提升至 30%；毛利率由今年 32.8% 攀升至 35%。這是「成熟製程廠切入 AI」的量化路徑，也是評價重估的基礎。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・新加坡 12 吋廠維持 2027 年首季量產規畫、良率 99% 優於預期，且原定 2029 年每月 4.4 萬片的產能規畫將提前。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・研究機構財務預測：今年 EPS 約 6 元，2027 年 EPS 接近 8 元，2028 年賺逾一個股本（即 EPS 逾 10 元）。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・目標價光譜分散（花旗 185 元 vs 多家 2 字頭 vs 標題稱 220 元），且多數舊目標價未揭露，無法判斷各家調升幅度，評價基準差異需以正式報告確認。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・凱基一家在兩個來源出現不同數字（8/5 增持 187 元 vs 8/6 買進 2 字頭），存在資料重複或先後版本問題，已標記待確認。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・AI 相關營收比重由 10%～15% 拉升到 30% 是三年期的假設，若 AI 中介層、PMIC 需求不如預期，或客戶轉單至其他成熟製程廠，評價重估的基礎會被削弱。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・成熟製程漲價循環高度依賴「AI 基建擴張排擠一般成熟製程產能」這一條件；消費性電子終端需求仍偏弱，若 AI 資本支出放緩，漲價空間會先被壓縮。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・新加坡新廠與提前擴產將帶來折舊費用，對毛利率的壓抑時點與幅度，原文未量化。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8/6｜成熟製程全面復甦 世界目標價法人喊到 220 元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https://www.ctee.com.tw/news/20260806700216-430201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8/5｜世界先進（凱基投顧、元大投顧）－補收錄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https://wantrich.chinatimes.com/news/20260805900132-420101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