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世芯-KY（3661）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16 家本國投顧及外資券商（併稱，個別數字未載）｜半導體－IC 設計服務／AI ASIC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03:00｜工商時報 記者陳彩玲（永豐金證券權證版）｜★本場次補收錄之早盤窗口遺漏稿件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 家本國投顧及外資券商（併稱，未拆解到個別機構）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目標價區間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4,640～6,800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本系統既有對照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 家 6,100（前值 6,000）／B 家 6,800（維持）／C 家 5,088（維持），均為 08/17 收錄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★新發現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區間下緣 4,640 元低於本系統既有最保守的 5,088 元 8.8%（本系統回算）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★本則的唯一新資訊是區間下緣 4,640 元＝這是本系統首次看到低於 5,088 元的世芯目標價，代表市場上存在比既有紀錄更保守的一家。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★區間上緣 6,800 元與本系統 08/17 已收錄的 B 家完全相同，可交叉驗證 6,800 元為目前檯面上最高。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本國投顧論點＝受惠 CSP 廠持續進行 ASIC 晶片開發，世芯接獲北美客戶新一代加速器晶片的開發案，帶動營運跳躍式成長。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新創機會＝在新創公司積極發展 AI 晶片下，有望獲得更多新創公司的委託設計服務機會。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車用＝車用自駕晶片將逐步量產，有利長期營運穩健成長。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★時程展望＝最新 7 月營收創新高，動能將延續至 2027 年；今年雖受產能限制但營收仍具上修空間；北美 CSP 客戶四代產品單價將翻倍以上提升，貢獻營收預計落在 2028 年；法人看好成長動能延續至 2029 年。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★16 家併稱區間是本系統反覆遇到的表述陷阱＝08/18 早盤稿曾以「花旗環球／摩根大通／瑞銀」併稱 6,600～6,800 元，但 08/17 實際三家數字為 6,100／6,800／5,088，最低者完全落在該區間外。本則的 4,640～6,800 同樣不可視為 16 家的共識帶。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★4,640 元與 6,800 元相差 46.6%（本系統回算），區間寬度本身即代表市場對世芯分歧極大，取中值沒有意義。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★本則刊於權證版面並附免責聲明，屬權證推介稿而非研究報告轉述，資訊密度低於券商專稿。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★16 家的個別評等、目標價、EPS 預估、評價年度與報告出具日期全部未載，無任何一項可回算驗證。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單一客戶集中度極高（Trainium 系列今年約占營收 60%、2027 年約 68%，出自本系統 08/17 紀錄），本則完全未討論。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「動能延續至 2029 年」為定性描述，未提供合約金額、產能配額或客戶認證進度。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https://www.ctee.com.tw/news/20260819700303-430203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