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Microsoft JhengHei" w:eastAsia="Microsoft JhengHei" w:hAnsi="Microsoft JhengHei"/>
          <w:b/>
          <w:bCs/>
          <w:color w:val="1F3864"/>
          <w:sz w:val="32"/>
          <w:szCs w:val="32"/>
        </w:rPr>
        <w:t xml:space="preserve">世芯-KY(3661) 券商觀點摘要 — 2026/08/25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券商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美系外資（★原文未具名；★目標價序列與本系統 08/14 收錄之美系外資「加碼（維持）5,088 元」完全吻合，研判為同一家，★疑為摩根士丹利，待查證）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評等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★本篇原文未載評等文字（08/14 同序列為「加碼」）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目標價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5,088 → 5,888 元（+15.72%，本系統回算）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評價參考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原文載「目前股價約為 2028 年預估 EPS 的 10 倍」（★未載 EPS 絕對值與目標倍數）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產業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半導體 — ASIC 設計服務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報告性質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新聞轉述（時報記者王逸芯），非報告原文；未載分析師姓名與報告出具日期</w:t>
            </w:r>
          </w:p>
        </w:tc>
      </w:tr>
    </w:tbl>
    <w:p>
      <w:pPr>
        <w:pBdr>
          <w:bottom w:val="single" w:color="2E5496" w:sz="6" w:space="2"/>
        </w:pBdr>
        <w:spacing w:after="120" w:before="220"/>
      </w:pPr>
      <w:r>
        <w:rPr>
          <w:rFonts w:ascii="Microsoft JhengHei" w:eastAsia="Microsoft JhengHei" w:hAnsi="Microsoft JhengHei"/>
          <w:b/>
          <w:bCs/>
          <w:color w:val="2E5496"/>
          <w:sz w:val="26"/>
          <w:szCs w:val="26"/>
        </w:rPr>
        <w:t xml:space="preserve">論點</w:t>
      </w:r>
    </w:p>
    <w:p>
      <w:pPr>
        <w:spacing w:after="80" w:line="290"/>
        <w:ind w:left="280"/>
      </w:pPr>
      <w:r>
        <w:rPr>
          <w:rFonts w:ascii="Microsoft JhengHei" w:eastAsia="Microsoft JhengHei" w:hAnsi="Microsoft JhengHei"/>
          <w:sz w:val="22"/>
          <w:szCs w:val="22"/>
        </w:rPr>
        <w:t xml:space="preserve">‧ ★核心上調理由＝Amazon Trainium4：管理層於法說會表示其整體潛在市場規模（TAM）可能與 Google TPU 相當；外資估 2028 年 Trainium4 出貨至少 250 萬顆，世芯可望取得約 30% turnkey 訂單。</w:t>
      </w:r>
    </w:p>
    <w:p>
      <w:pPr>
        <w:spacing w:after="80" w:line="290"/>
        <w:ind w:left="280"/>
      </w:pPr>
      <w:r>
        <w:rPr>
          <w:rFonts w:ascii="Microsoft JhengHei" w:eastAsia="Microsoft JhengHei" w:hAnsi="Microsoft JhengHei"/>
          <w:sz w:val="22"/>
          <w:szCs w:val="22"/>
        </w:rPr>
        <w:t xml:space="preserve">‧ ★以 Trainium4 不含 HBM 單顆 ASP 約 1 萬美元計，2028 年 Trainium4 營收貢獻上看 80 億美元——較原先預估的 40 億美元大幅翻倍，為下一波主要成長引擎。</w:t>
      </w:r>
    </w:p>
    <w:p>
      <w:pPr>
        <w:spacing w:after="80" w:line="290"/>
        <w:ind w:left="280"/>
      </w:pPr>
      <w:r>
        <w:rPr>
          <w:rFonts w:ascii="Microsoft JhengHei" w:eastAsia="Microsoft JhengHei" w:hAnsi="Microsoft JhengHei"/>
          <w:sz w:val="22"/>
          <w:szCs w:val="22"/>
        </w:rPr>
        <w:t xml:space="preserve">‧ Trainium3 現階段：訂單配置假設略為下修，2026／2027 年營收預估調整至 18 億／28 億美元；★但因出貨規模大、獲得台積電較佳供應支援，毛利率預估由「低至中段雙位數」上調至「接近高雙位數」百分比，獲利能力優於原先預期。</w:t>
      </w:r>
    </w:p>
    <w:p>
      <w:pPr>
        <w:spacing w:after="80" w:line="290"/>
        <w:ind w:left="280"/>
      </w:pPr>
      <w:r>
        <w:rPr>
          <w:rFonts w:ascii="Microsoft JhengHei" w:eastAsia="Microsoft JhengHei" w:hAnsi="Microsoft JhengHei"/>
          <w:sz w:val="22"/>
          <w:szCs w:val="22"/>
        </w:rPr>
        <w:t xml:space="preserve">‧ Google TPU 方面：Google 逐步採用 COT 模式，compute die 設計與後段設計服務可分工，TPU v10 設計模組增加，有利更多 ASIC 設計服務業者切入。</w:t>
      </w:r>
    </w:p>
    <w:p>
      <w:pPr>
        <w:spacing w:after="80" w:line="290"/>
        <w:ind w:left="280"/>
      </w:pPr>
      <w:r>
        <w:rPr>
          <w:rFonts w:ascii="Microsoft JhengHei" w:eastAsia="Microsoft JhengHei" w:hAnsi="Microsoft JhengHei"/>
          <w:sz w:val="22"/>
          <w:szCs w:val="22"/>
        </w:rPr>
        <w:t xml:space="preserve">‧ ★5,888 元亦納入「未來取得第二家 CSP 客戶」的潛在機會。</w:t>
      </w:r>
    </w:p>
    <w:p>
      <w:pPr>
        <w:pBdr>
          <w:bottom w:val="single" w:color="2E5496" w:sz="6" w:space="2"/>
        </w:pBdr>
        <w:spacing w:after="120" w:before="220"/>
      </w:pPr>
      <w:r>
        <w:rPr>
          <w:rFonts w:ascii="Microsoft JhengHei" w:eastAsia="Microsoft JhengHei" w:hAnsi="Microsoft JhengHei"/>
          <w:b/>
          <w:bCs/>
          <w:color w:val="2E5496"/>
          <w:sz w:val="26"/>
          <w:szCs w:val="26"/>
        </w:rPr>
        <w:t xml:space="preserve">風險</w:t>
      </w:r>
    </w:p>
    <w:p>
      <w:pPr>
        <w:spacing w:after="80" w:line="290"/>
        <w:ind w:left="280"/>
      </w:pPr>
      <w:r>
        <w:rPr>
          <w:rFonts w:ascii="Microsoft JhengHei" w:eastAsia="Microsoft JhengHei" w:hAnsi="Microsoft JhengHei"/>
          <w:sz w:val="22"/>
          <w:szCs w:val="22"/>
        </w:rPr>
        <w:t xml:space="preserve">‧ ★券商未具名（依序列推定為同一家美系，仍待查證），本篇未載評等文字。</w:t>
      </w:r>
    </w:p>
    <w:p>
      <w:pPr>
        <w:spacing w:after="80" w:line="290"/>
        <w:ind w:left="280"/>
      </w:pPr>
      <w:r>
        <w:rPr>
          <w:rFonts w:ascii="Microsoft JhengHei" w:eastAsia="Microsoft JhengHei" w:hAnsi="Microsoft JhengHei"/>
          <w:sz w:val="22"/>
          <w:szCs w:val="22"/>
        </w:rPr>
        <w:t xml:space="preserve">‧ ★80 億美元的核心假設鏈＝TAM 與 TPU 相當 × 出貨 250 萬顆 × 30% turnkey 份額 × ASP 1 萬美元，四個變數全部是 2028 年遠期預估，任一鬆動數字即大幅縮水；TAM 說法源自公司法說會，非外資獨立驗證。</w:t>
      </w:r>
    </w:p>
    <w:p>
      <w:pPr>
        <w:spacing w:after="80" w:line="290"/>
        <w:ind w:left="280"/>
      </w:pPr>
      <w:r>
        <w:rPr>
          <w:rFonts w:ascii="Microsoft JhengHei" w:eastAsia="Microsoft JhengHei" w:hAnsi="Microsoft JhengHei"/>
          <w:sz w:val="22"/>
          <w:szCs w:val="22"/>
        </w:rPr>
        <w:t xml:space="preserve">‧ ★Trainium3 訂單配置「略為下修」與 Trainium4 遠期大幅上修同稿並存——近期實際配置是向下修的，上調集中在遠期。</w:t>
      </w:r>
    </w:p>
    <w:p>
      <w:pPr>
        <w:spacing w:after="80" w:line="290"/>
        <w:ind w:left="280"/>
      </w:pPr>
      <w:r>
        <w:rPr>
          <w:rFonts w:ascii="Microsoft JhengHei" w:eastAsia="Microsoft JhengHei" w:hAnsi="Microsoft JhengHei"/>
          <w:sz w:val="22"/>
          <w:szCs w:val="22"/>
        </w:rPr>
        <w:t xml:space="preserve">‧ ★「第二家 CSP 客戶」為潛在機會而非已確認事件，已被計入目標價。</w:t>
      </w:r>
    </w:p>
    <w:p>
      <w:pPr>
        <w:spacing w:after="80" w:line="290"/>
        <w:ind w:left="280"/>
      </w:pPr>
      <w:r>
        <w:rPr>
          <w:rFonts w:ascii="Microsoft JhengHei" w:eastAsia="Microsoft JhengHei" w:hAnsi="Microsoft JhengHei"/>
          <w:sz w:val="22"/>
          <w:szCs w:val="22"/>
        </w:rPr>
        <w:t xml:space="preserve">‧ 對照：具名外資花旗環球／摩根大通／瑞銀既有紀錄 6,600～6,800 元（08/17–08/18）仍高於本筆 5,888 元 12～15%；FactSet 共識 6,000 元（20260822，現價 3,735，隱含 +60.6%）；中國信託證券法人預估今年 EPS 132.59 元（08/25 早盤收錄）低於瑞銀 159.82 元 17%，法人分歧仍大。</w:t>
      </w:r>
    </w:p>
    <w:p>
      <w:pPr>
        <w:spacing w:after="80" w:line="290"/>
        <w:ind w:left="280"/>
      </w:pPr>
      <w:r>
        <w:rPr>
          <w:rFonts w:ascii="Microsoft JhengHei" w:eastAsia="Microsoft JhengHei" w:hAnsi="Microsoft JhengHei"/>
          <w:sz w:val="22"/>
          <w:szCs w:val="22"/>
        </w:rPr>
        <w:t xml:space="preserve">‧ ★原文未提供基準收盤價，隱含空間無法回算；世芯-KY 區間下緣 4,640 元出自哪一家（自 08/19 起）仍未結案。</w:t>
      </w:r>
    </w:p>
    <w:p>
      <w:pPr>
        <w:pBdr>
          <w:bottom w:val="single" w:color="2E5496" w:sz="6" w:space="2"/>
        </w:pBdr>
        <w:spacing w:after="120" w:before="220"/>
      </w:pPr>
      <w:r>
        <w:rPr>
          <w:rFonts w:ascii="Microsoft JhengHei" w:eastAsia="Microsoft JhengHei" w:hAnsi="Microsoft JhengHei"/>
          <w:b/>
          <w:bCs/>
          <w:color w:val="2E5496"/>
          <w:sz w:val="26"/>
          <w:szCs w:val="26"/>
        </w:rPr>
        <w:t xml:space="preserve">來源連結</w:t>
      </w:r>
    </w:p>
    <w:p>
      <w:pPr>
        <w:spacing w:after="60"/>
        <w:ind w:left="280"/>
      </w:pPr>
      <w:r>
        <w:rPr>
          <w:rFonts w:ascii="Microsoft JhengHei" w:eastAsia="Microsoft JhengHei" w:hAnsi="Microsoft JhengHei"/>
          <w:sz w:val="20"/>
          <w:szCs w:val="20"/>
        </w:rPr>
        <w:t xml:space="preserve">‧ 《半導體》Trainium4成超級成長引擎 外資上修世芯-KY目標價至5888元（工商時報 2026/08/25）：</w:t>
      </w:r>
      <w:hyperlink w:history="1" r:id="rIdf_degx8rnsxab3qmedfb-"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https://www.ctee.com.tw/news/20260825700808-430201</w:t>
        </w:r>
      </w:hyperlink>
    </w:p>
    <w:p>
      <w:pPr>
        <w:pBdr>
          <w:top w:val="single" w:color="999999" w:sz="4" w:space="4"/>
        </w:pBdr>
        <w:spacing w:before="240"/>
      </w:pPr>
      <w:r>
        <w:rPr>
          <w:rFonts w:ascii="Microsoft JhengHei" w:eastAsia="Microsoft JhengHei" w:hAnsi="Microsoft JhengHei"/>
          <w:color w:val="666666"/>
          <w:sz w:val="18"/>
          <w:szCs w:val="18"/>
        </w:rPr>
        <w:t xml:space="preserve">本摘要依公開新聞整理，非完整報告。目標價與預估值均為券商觀點之新聞轉述，非本文件之投資建議；標註「本系統回算」者為依公開數字之機械式計算。</w:t>
      </w:r>
    </w:p>
    <w:sectPr>
      <w:headerReference w:type="default" r:id="rId9"/>
      <w:pgSz w:w="11906" w:h="16838" w:orient="portrait"/>
      <w:pgMar w:top="12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_degx8rnsxab3qmedfb-" Type="http://schemas.openxmlformats.org/officeDocument/2006/relationships/hyperlink" Target="https://www.ctee.com.tw/news/20260825700808-430201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2026-08-25T11:21:39.423Z</dcterms:created>
  <dcterms:modified xsi:type="dcterms:W3CDTF">2026-08-25T11:21:39.423Z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