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世芯-KY（3661）券商觀點摘要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券商：本土投顧（內資．★未具名）　｜　見報：工商時報 2026/09/07 03:00（06:31 更新）　｜　整理：旺來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7597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本土投顧（內資．★未具名）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09/04 收盤價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4,220.00 元（+170.00、+4.20%）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獲利預估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估 132.59 元；2027 年 EPS 估 160.25 元（年增約 20.9%）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隱含本益比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 4,220 元／2026 EPS 132.59 計約 31.8 倍；／2027 EPS 160.25 計約 26.3 倍（本系統回算）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半導體－ASIC 設計服務（IP／後段實體設計／量產）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・營收動能：北美大客戶 N3 製程進入量產，加上下一代產品設計合作，帶動自第二季起營收顯著躍升。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・第二成長引擎：車用 ADAS 將於 2026 年起成為第二大營收來源，降低單一 CSP 客戶依賴。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・技術節點推進：N2 製程產品規劃於 2026 年底 Tape-Out。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・新客戶：正積極爭取另一家 CSP（雲端服務業者）新客戶，若成案將是評價再上修的關鍵催化。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・獲利軌跡：2026→2027 年 EPS 由 132.59 元增至 160.25 元，成長曲線延續但增速較 2025 年放緩。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三、風險與原文未揭露之處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・★無目標價：僅有「買進」評等而無數字，無法量化上檔空間。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・★券商未具名，亦未載明外資或內資之外的機構屬性細節。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・客戶集中度高：ASIC 設計服務營收高度綁定少數大客戶，單一專案遞延或轉單即造成營收大幅波動，為此產業結構性風險。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・★指數調整壓力：富時臺灣50 將於 09/18 收盤後生效之調整中剔除世芯-KY（納入藥華藥），被動資金賣壓為近期籌碼面明確逆風，本則報告未提及此事。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・新客戶爭取尚未成案，屬預期而非既成事實。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四、來源連結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20260907700223：https://www.ctee.com.tw/news/20260907700223-430203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・行情：鉅亨網個股頁 3661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/>
          <w:color w:val="993333"/>
          <w:sz w:val="17"/>
        </w:rPr>
        <w:t>本摘要依公開新聞整理，非完整報告。標示★者為原文未載或本系統回算。</w:t>
      </w:r>
    </w:p>
    <w:sectPr w:rsidR="00FC693F" w:rsidRPr="0006063C" w:rsidSect="00034616">
      <w:headerReference r:id="rId9" w:type="default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