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中砂（1560）券商觀點摘要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2026/09/11　FactSet 分析師調查（10 位分析師，★未具名）　產業：半導體材料－鑽石碟／再生晶圓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7824"/>
      </w:tblGrid>
      <w:tr>
        <w:tc>
          <w:tcPr>
            <w:tcW w:type="dxa" w:w="2268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82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分析師調查彙整（共 10 位分析師，★個別券商未具名）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類別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外資（FactSet 共識，含內外資混合）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★原文未載（本篇僅列 EPS 與目標價，未附綜合評級）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860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855 元（同系列前一篇稿件值）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約 +0.58%（本系統回算）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EPS 中位數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由 14.84 元上修至 14.95 元（最高 16.28 元／最低 13.3 元）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2027／2028 EPS 中位數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21.05 元／27.02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09/11 收盤價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733 元（隱含上檔空間約 17%）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系統內既有紀錄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2026/09/10 本土金控法人（★未具名）給「買進」、目標價 840 元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・FactSet 分析師共識將中砂 2026 年 EPS 中位數由 14.84 元小幅上修至 14.95 元，目標價中位數同步由 855 元升至 860 元，屬「持續小幅墊高」而非跳升。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・成長斜率陡峭是本檔特徵：2027 年 EPS 中位數 21.05 元較 2026 年增約 41%，2028 年 27.02 元再增約 28%，反映鑽石碟與再生晶圓需求隨先進製程擴產同步放大。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・分析師預估區間偏窄（2026 年最高 16.28 元、最低 13.3 元），共識分歧度低。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・與內資觀點方向一致：09/10 本土金控法人給買進、目標價 840 元，本次外資共識 860 元略高，兩者差距約 2.4%。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三、風險與注意事項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・★FactSet 券商欄一律標示彙總值，無個別分析師、無報告日，無法回算評價假設；共識目標價具「追著股價跑」傾向。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・★原文未載評等等級，本摘要不自行推估買進／中立。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・目標價 860 元對 09/11 收盤 733 元僅隱含約 17% 空間，低於系統內多數 AI 供應鏈個股的隱含空間，須留意評價已部分反映。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・舊目標價 855 元係取自同系列前一篇 FactSet 稿件，非本篇明載，列為待確認。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FactSet 分析師調查：https://news.cnyes.com/news/id/6604228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/>
          <w:color w:val="9900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