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中砂(1650) 券商觀點摘要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color w:val="595959"/>
          <w:sz w:val="20"/>
          <w:szCs w:val="20"/>
        </w:rPr>
        <w:t xml:space="preserve">報告2026-07-16出具、07-20見報(旺得富)｜龍頭券商旗下投顧(未具名/內資)｜半導體－耗材(鑽石碟/再生晶圓)</w:t>
      </w:r>
    </w:p>
    <w:p>
      <w:pPr>
        <w:pBdr>
          <w:bottom w:val="single" w:color="1F3864" w:sz="8"/>
        </w:pBdr>
        <w:spacing w:after="120"/>
      </w:pP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評等／目標價摘要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龍頭券商旗下投顧(未具名/內資)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買進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目標價(新)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760元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目標價(舊)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未揭露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產業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半導體－耗材(鑽石碟/再生晶圓)</w:t>
            </w:r>
          </w:p>
        </w:tc>
      </w:tr>
      <w:tr>
        <w:tc>
          <w:tcPr>
            <w:tcW w:type="dxa" w:w="234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報告/見報日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報告2026-07-16出具、07-20見報(旺得富)</w:t>
            </w:r>
          </w:p>
        </w:tc>
      </w:tr>
    </w:tbl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核心論點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台積電16日法說上修2026年資本支出15%至600~640億美元，年增46~56%，高於市場預期；N3/N2與先進封裝CoWoS為擴產重心。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台廠利基在耗材與代工代理；中砂鑽石碟等耗材隨先進製程擴產放量，列4檔首選之一。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在手訂單創新高，能見度長達2028年；今年營運可望續創新高。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投顧估未來3年台積capex CAGR高於22%，美AZ廠再加碼1,000億美元增4座新廠。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風險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半導體景氣循環與台積電資本支出若下修，耗材需求連動。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17日台股重挫2,953點，短線市場波動風險高。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目標價前值未揭露，追蹤基準待確認。</w:t>
      </w:r>
    </w:p>
    <w:p>
      <w:pPr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6"/>
          <w:szCs w:val="26"/>
        </w:rPr>
        <w:t xml:space="preserve">來源連結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18"/>
          <w:szCs w:val="18"/>
        </w:rPr>
        <w:t xml:space="preserve">旺得富理財網(2026-07-20 05:01)：https://wantrich.chinatimes.com/news/20260720900001-420101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i/>
          <w:iCs/>
          <w:color w:val="808080"/>
          <w:sz w:val="18"/>
          <w:szCs w:val="18"/>
        </w:rPr>
        <w:t xml:space="preserve">本摘要依公開新聞整理，非完整報告。</w:t>
      </w:r>
    </w:p>
    <w:sectPr>
      <w:headerReference w:type="default" r:id="rIdWM1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WM1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2026-07-20T00:15:18.444Z</dcterms:created>
  <dcterms:modified xsi:type="dcterms:W3CDTF">2026-07-20T00:15:18.444Z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