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中租-KY（5871）　FactSet 外資共識摘要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場次：2026/08/21 盤後（窗口 08/21 08:10－19:10）　｜　產業：金融－租賃與分期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18"/>
        </w:rPr>
        <w:t>資料來源：鉅亨網 外資評等表（board/ratediff.aspx，針對國外法人 QFII 所發佈個股評等的統計總表）</w:t>
      </w:r>
    </w:p>
    <w:p>
      <w:pPr>
        <w:pStyle w:val="Heading2"/>
      </w:pPr>
      <w: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20260820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券商／機構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FactSet（分析師共識統計，非單一機構報告）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外資／內資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本表評等欄為空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新目標價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126.47 元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舊目標價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本表未載前值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調整方向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無法判斷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表列現價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111.5 元（對應前一交易日收盤）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隱含空間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+13.43%（本系統回算）</w:t>
            </w:r>
          </w:p>
        </w:tc>
      </w:tr>
    </w:tbl>
    <w:p>
      <w:pPr>
        <w:pStyle w:val="Heading2"/>
      </w:pPr>
      <w:r>
        <w:t>二、論點與判讀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★本批唯二的金融股之一（另一為中信金），也是本場次資金輪動方向的側面印證。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08/21 金融指數大漲 2.53%，外資買超前十大中金融股占五席（凱基金 36,636 張、台新新光金 21,016 張、第一金 20,474 張、富邦金 19,630 張、兆豐金 19,236 張），資金明顯自 AI 主線流向金融與傳產。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隱含空間 +13.43%（本系統回算），為本批偏低者，屬穩健型而非題材型的空間結構。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目標價 126.47 元帶到小數點後兩位，是典型的多家分析師取平均後的機械式數字，並非任何一家的實際掛牌價位。</w:t>
      </w:r>
    </w:p>
    <w:p>
      <w:pPr>
        <w:pStyle w:val="Heading2"/>
      </w:pPr>
      <w:r>
        <w:t>三、風險與資訊缺口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★租賃業評價的核心變數是資產品質與逾放比，本表完全未涉及。中租-KY 的東協與中國曝險是市場長期爭論點，共識價無法反映其中的分歧。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★本系統對中租-KY 並無既有券商紀錄，此為首度收錄，無序列可供趨勢判斷。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FactSet 為分析師共識統計，非任何單一機構的研究報告。本表無論述、無 EPS 預估、無目標本益比、無評價年度、無涵蓋分析師家數與樂觀／中立／悲觀分布，完全無法回算驗證。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共識價會平滑掉離群值，數字平穩不代表可靠，而是分歧被隱藏。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表列現價對應前一交易日收盤，實際上檔空間須以最新股價重算。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21"/>
        </w:rPr>
        <w:t>鉅亨表存在 gt=all 與 gt=qfii 兩個參數變體，快取可能不同步。本場次採用 board/ratediff.aspx 預設變體，已於備註固定註記。</w:t>
      </w:r>
    </w:p>
    <w:p>
      <w:pPr>
        <w:pStyle w:val="Heading2"/>
      </w:pPr>
      <w:r>
        <w:t>四、來源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鉅亨網 外資評等表：https://www.cnyes.com/twstock/board/ratediff.aspx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sz w:val="18"/>
        </w:rPr>
        <w:t>工商時報 即時證券：https://www.ctee.com.tw/livenews/stock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1"/>
        </w:rPr>
      </w:r>
    </w:p>
    <w:p>
      <w:pPr>
        <w:spacing w:after="80"/>
      </w:pPr>
      <w:r>
        <w:rPr>
          <w:rFonts w:ascii="Microsoft JhengHei" w:hAnsi="Microsoft JhengHei" w:eastAsia="Microsoft JhengHei"/>
          <w:b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1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1F1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