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0"/>
          <w:szCs w:val="30"/>
        </w:rPr>
        <w:t xml:space="preserve">中興電(1513) 個股摘要　FactSet 分析師共識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資料日期：2026/08/01（鉅亨速報 10:10 發布）　｜　產業：重電／電機機械（開關設備、統包工程）　｜　整理：2026/08/02 盤後場次　｜　首次收錄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一、評等／目標價摘要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4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來源／機構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FactSet 分析師共識彙整（共 7 位分析師），非單一券商正式報告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評等分佈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積極樂觀 4 位　保持中立 1 位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（原文未列保守家數，分佈合計未達 7 位，判讀待確認）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中位數 191 元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目標價（前值）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180 元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調升幅度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+6.11%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估值區間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最高 214 元／最低 166 元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收盤價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153.5 元（2026/07/31，+4.42%）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潛在上檔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約 +24.4%（以 191 元對 153.5 元計）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近期股價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近 5 日 -2.85%；電機機械族群近 5 日 -5.13%；加權指數同期 -1.23%</w:t>
            </w:r>
          </w:p>
        </w:tc>
      </w:tr>
    </w:tbl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二、論點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共識明顯上修：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目標價中位數單次上修 6.11%，為本場次調幅最大者；7 位分析師中 4 位給予積極樂觀評價，顯示賣方對後市看法轉趨正面。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目標價與現價落差大：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共識中位數 191 元較 7/31 收盤 153.5 元有約 24.4% 上檔空間，且最低估值 166 元仍高於現價，為本場次三檔中共識支撐相對紮實者。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產業背景：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重電族群受惠電網強化、再生能源併網與 AI 資料中心供電基礎建設需求；先前市場整理之重電股名單（中興電、東元、亞力、大同、華城等）中，中興電多次獲法人點名。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股利：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2026/07/09 除息 6 元，以 7/31 收盤 153.5 元計現金殖利率約 3.9%。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三、風險與注意事項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報導資訊有限：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原文未揭露 EPS 預估數字、上修理由或個別券商評等，僅提供共識面訊號，深度分析需取得完整券商報告。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評等分佈判讀存疑：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原文列積極樂觀 4 位、中立 1 位，合計 5 位未達所述 7 位分析師，缺漏部分標示「待確認」。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族群短線弱勢：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電機機械族群近 5 日下跌 5.13%，明顯弱於加權指數，資金短期仍集中於 AI 半導體主流。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共識非正式報告：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FactSet 為多家分析師預估之中位數彙整，非任一券商出具之研究報告。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四、來源連結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鉅亨速報 - Factset 最新調查：中興電(1513-TW)目標價調升至191元，幅度約6.11%（鉅亨網／2026-08-01）  </w:t>
      </w:r>
      <w:hyperlink w:history="1" r:id="rIdlnk001">
        <w:r>
          <w:rPr>
            <w:rFonts w:ascii="Microsoft JhengHei" w:cs="Microsoft JhengHei" w:eastAsia="Microsoft JhengHei" w:hAnsi="Microsoft JhengHei"/>
            <w:b w:val="false"/>
            <w:bCs w:val="false"/>
            <w:i w:val="false"/>
            <w:iCs w:val="false"/>
            <w:color w:val="1155CC"/>
            <w:sz w:val="17"/>
            <w:szCs w:val="17"/>
            <w:u w:val="single"/>
          </w:rPr>
          <w:t xml:space="preserve">https://news.cnyes.com/news/id/6555639</w:t>
        </w:r>
      </w:hyperlink>
    </w:p>
    <w:p>
      <w:pPr>
        <w:pBdr>
          <w:top w:val="single" w:color="BFBFBF" w:sz="4" w:space="6"/>
        </w:pBdr>
        <w:spacing w:after="0" w:before="2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55555"/>
          <w:sz w:val="17"/>
          <w:szCs w:val="17"/>
        </w:rPr>
        <w:t xml:space="preserve">本摘要依公開新聞整理，非完整券商報告。FactSet 共識為分析師預估中位數彙整，不代表任一券商之正式評等。本檔為首次收錄，尚無歷史對照。</w:t>
      </w:r>
    </w:p>
    <w:sectPr>
      <w:headerReference w:type="default" r:id="rId9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" Type="http://schemas.openxmlformats.org/officeDocument/2006/relationships/fontTable" Target="fontTable.xml"/><Relationship Id="rId90" Type="http://schemas.openxmlformats.org/officeDocument/2006/relationships/header" Target="header1.xml"/><Relationship Id="rIdlnk001" Type="http://schemas.openxmlformats.org/officeDocument/2006/relationships/hyperlink" Target="https://news.cnyes.com/news/id/6555639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2026-08-02T00:18:02.730Z</dcterms:created>
  <dcterms:modified xsi:type="dcterms:W3CDTF">2026-08-02T00:18:02.730Z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